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41702" w:rsidRPr="000E0B8C" w:rsidRDefault="00E41702" w:rsidP="005460BD">
      <w:pPr>
        <w:ind w:right="-71"/>
        <w:jc w:val="both"/>
        <w:rPr>
          <w:b/>
          <w:i/>
        </w:rPr>
      </w:pPr>
    </w:p>
    <w:p w:rsidR="00E73DEC" w:rsidRPr="00971E07" w:rsidRDefault="00F768EF" w:rsidP="00E73DE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E73D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="00E73DEC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 w:rsidR="00E73D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B328A2" w:rsidRDefault="00B328A2" w:rsidP="005347E7">
      <w:pPr>
        <w:jc w:val="both"/>
        <w:rPr>
          <w:sz w:val="24"/>
          <w:szCs w:val="24"/>
        </w:rPr>
      </w:pPr>
    </w:p>
    <w:p w:rsidR="00C76810" w:rsidRPr="00B970A9" w:rsidRDefault="00C76810" w:rsidP="00C76810">
      <w:pPr>
        <w:jc w:val="both"/>
        <w:rPr>
          <w:rFonts w:eastAsia="Calibri"/>
          <w:b/>
          <w:i/>
          <w:sz w:val="24"/>
          <w:szCs w:val="24"/>
        </w:rPr>
      </w:pPr>
      <w:r w:rsidRPr="00B970A9">
        <w:rPr>
          <w:rFonts w:eastAsia="Calibri"/>
          <w:b/>
          <w:i/>
          <w:sz w:val="24"/>
          <w:szCs w:val="24"/>
        </w:rPr>
        <w:t>Execução. Compensação de progressões. Norma coletiva. Ofensa à coisa julgada. Contrariedade à Orientação jurisprudencial nº 123 da SBDI-II. Não configuração.</w:t>
      </w:r>
    </w:p>
    <w:p w:rsidR="00C76810" w:rsidRPr="00B970A9" w:rsidRDefault="00C76810" w:rsidP="00C76810">
      <w:pPr>
        <w:jc w:val="both"/>
        <w:rPr>
          <w:rFonts w:eastAsia="Calibri"/>
          <w:sz w:val="24"/>
          <w:szCs w:val="24"/>
        </w:rPr>
      </w:pPr>
      <w:r w:rsidRPr="00B970A9">
        <w:rPr>
          <w:rFonts w:eastAsia="Calibri"/>
          <w:sz w:val="24"/>
          <w:szCs w:val="24"/>
        </w:rPr>
        <w:t xml:space="preserve">Para a constatação de ofensa à coisa julgada, não se admite a interpretação do título executivo judicial, </w:t>
      </w:r>
      <w:r>
        <w:rPr>
          <w:rFonts w:eastAsia="Calibri"/>
          <w:sz w:val="24"/>
          <w:szCs w:val="24"/>
        </w:rPr>
        <w:t xml:space="preserve">mas </w:t>
      </w:r>
      <w:r w:rsidRPr="00B970A9">
        <w:rPr>
          <w:rFonts w:eastAsia="Calibri"/>
          <w:sz w:val="24"/>
          <w:szCs w:val="24"/>
        </w:rPr>
        <w:t xml:space="preserve">apenas a verificação de dissonância patente entre o título e a decisão proferida em sede de execução. No caso, não contraria o entendimento contido na </w:t>
      </w:r>
      <w:r>
        <w:rPr>
          <w:rFonts w:eastAsia="Calibri"/>
          <w:sz w:val="24"/>
          <w:szCs w:val="24"/>
        </w:rPr>
        <w:t>O</w:t>
      </w:r>
      <w:r w:rsidRPr="00B970A9">
        <w:rPr>
          <w:rFonts w:eastAsia="Calibri"/>
          <w:sz w:val="24"/>
          <w:szCs w:val="24"/>
        </w:rPr>
        <w:t xml:space="preserve">rientação </w:t>
      </w:r>
      <w:r>
        <w:rPr>
          <w:rFonts w:eastAsia="Calibri"/>
          <w:sz w:val="24"/>
          <w:szCs w:val="24"/>
        </w:rPr>
        <w:t>J</w:t>
      </w:r>
      <w:r w:rsidRPr="00B970A9">
        <w:rPr>
          <w:rFonts w:eastAsia="Calibri"/>
          <w:sz w:val="24"/>
          <w:szCs w:val="24"/>
        </w:rPr>
        <w:t>urisprudencial nº 123 da SBDI-II a decisão que, observando o teor da decisão exequenda, reconheceu a afronta à coisa julgada do acórdão prolatado pelo T</w:t>
      </w:r>
      <w:r>
        <w:rPr>
          <w:rFonts w:eastAsia="Calibri"/>
          <w:sz w:val="24"/>
          <w:szCs w:val="24"/>
        </w:rPr>
        <w:t>RT</w:t>
      </w:r>
      <w:r w:rsidRPr="00B970A9">
        <w:rPr>
          <w:rFonts w:eastAsia="Calibri"/>
          <w:sz w:val="24"/>
          <w:szCs w:val="24"/>
        </w:rPr>
        <w:t xml:space="preserve"> e ordenou a compensação das progressões decorrentes das normas coletivas na apuração das diferenças salariais deferidas no título executivo, porquanto a sentença determinara expressamente o pagamento de diferenças salariais ao empregado que não recebeu “qualquer promoção”. Sob esses fundamentos, a SBDI-I, por unanimidade, negou provimento ao agravo regimental interposto pelo exequente visando a reforma da decisão que denegara seguimento aos embargos por não vislumbrar divergência jurisprudencial específica nem contrariedade à Súmula nº 48 ou à Orientação Jurisprudencial nº 123 da SBDI-II, ambas do TST.</w:t>
      </w:r>
      <w:r>
        <w:rPr>
          <w:rFonts w:eastAsia="Calibri"/>
          <w:sz w:val="24"/>
          <w:szCs w:val="24"/>
        </w:rPr>
        <w:t xml:space="preserve"> </w:t>
      </w:r>
      <w:hyperlink r:id="rId8" w:history="1">
        <w:r w:rsidRPr="00C76810">
          <w:rPr>
            <w:rStyle w:val="Hyperlink"/>
            <w:rFonts w:eastAsia="Calibri"/>
            <w:sz w:val="24"/>
            <w:szCs w:val="24"/>
          </w:rPr>
          <w:t>TST-AgR-E-RR-2937-96.2011.5.09.0009</w:t>
        </w:r>
      </w:hyperlink>
      <w:r>
        <w:rPr>
          <w:rFonts w:eastAsia="Calibri"/>
          <w:sz w:val="24"/>
          <w:szCs w:val="24"/>
          <w:u w:val="single"/>
        </w:rPr>
        <w:t>, SBDI-I, rel. Min. João Oreste Dalazen, 30.6.2016</w:t>
      </w:r>
    </w:p>
    <w:p w:rsidR="00C76810" w:rsidRDefault="00C76810" w:rsidP="005347E7">
      <w:pPr>
        <w:jc w:val="both"/>
        <w:rPr>
          <w:sz w:val="24"/>
          <w:szCs w:val="24"/>
        </w:rPr>
      </w:pPr>
    </w:p>
    <w:p w:rsidR="00C76810" w:rsidRPr="00971E07" w:rsidRDefault="00C76810" w:rsidP="00C76810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SUBSEÇÃO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C76810" w:rsidRPr="00C83CB3" w:rsidRDefault="00C76810" w:rsidP="005347E7">
      <w:pPr>
        <w:jc w:val="both"/>
        <w:rPr>
          <w:sz w:val="24"/>
          <w:szCs w:val="24"/>
        </w:rPr>
      </w:pPr>
    </w:p>
    <w:p w:rsidR="00C76810" w:rsidRDefault="00C76810" w:rsidP="00C7681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Execução. Determinação para que o advogado faça o depósito de valores destinado às execuções trabalhistas ou justifique a não realização do depósito, informando as contas correntes para as quais a quantia foi transferida. Quebra do sigilo profissional. Não configuração. </w:t>
      </w:r>
    </w:p>
    <w:p w:rsidR="00C76810" w:rsidRDefault="00C76810" w:rsidP="00C76810">
      <w:pPr>
        <w:jc w:val="both"/>
        <w:rPr>
          <w:sz w:val="24"/>
          <w:szCs w:val="24"/>
        </w:rPr>
      </w:pPr>
      <w:r>
        <w:rPr>
          <w:sz w:val="24"/>
          <w:szCs w:val="24"/>
        </w:rPr>
        <w:t>A simples determinação judicial para que o advogado deposite os valores que recebera em nome de seu cliente,</w:t>
      </w:r>
      <w:r w:rsidRPr="00B86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a quitação de execuções trabalhistas, em razão de acordo homologado, ou justifique a não realização do depósito, informando para quais contas correntes a quantia foi transferida, não constitui quebra de sigilo profissional entre o advogado e seu cliente. Não se pode permitir que, a pretexto de sigilo profissional, a executada, sabidamente detentora de valor objeto de acordo judicial destinado à quitação de execução trabalhista, se exima de cumprir obrigação que lhe foi imposta, especialmente quando não houve solicitação de informações pessoais. Sob esse entendimento, a SBDI-II, por unanimidade, conheceu do recurso ordinário e, no mérito, por maioria, negou-lhe provimento, mantendo a decisão do Regional que denegara a segurança por entender que o ato impugnado não viola direito líquido e certo do advogado impetrante. Vencidas as Ministras Delaíde Miranda Arantes e Maria Helena Mallmann. </w:t>
      </w:r>
      <w:hyperlink r:id="rId9" w:history="1">
        <w:r w:rsidRPr="00C76810">
          <w:rPr>
            <w:rStyle w:val="Hyperlink"/>
            <w:sz w:val="24"/>
            <w:szCs w:val="24"/>
          </w:rPr>
          <w:t>TST-RO-1981-08.2012.5.15.0000,</w:t>
        </w:r>
      </w:hyperlink>
      <w:r w:rsidRPr="00BB1CF7">
        <w:rPr>
          <w:sz w:val="24"/>
          <w:szCs w:val="24"/>
          <w:u w:val="single"/>
        </w:rPr>
        <w:t xml:space="preserve"> SBDI-II,</w:t>
      </w:r>
      <w:r>
        <w:rPr>
          <w:sz w:val="24"/>
          <w:szCs w:val="24"/>
          <w:u w:val="single"/>
        </w:rPr>
        <w:t xml:space="preserve"> rel. Min. Delaíde Miranda Arantes,</w:t>
      </w:r>
      <w:r w:rsidRPr="00BB1CF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28</w:t>
      </w:r>
      <w:r w:rsidRPr="00BB1CF7">
        <w:rPr>
          <w:sz w:val="24"/>
          <w:szCs w:val="24"/>
          <w:u w:val="single"/>
        </w:rPr>
        <w:t>.6.2016</w:t>
      </w:r>
    </w:p>
    <w:p w:rsidR="005347E7" w:rsidRDefault="005347E7">
      <w:pPr>
        <w:jc w:val="both"/>
        <w:rPr>
          <w:sz w:val="22"/>
          <w:szCs w:val="22"/>
          <w:u w:val="single"/>
        </w:rPr>
      </w:pPr>
    </w:p>
    <w:p w:rsidR="00C76810" w:rsidRPr="005D1DE4" w:rsidRDefault="00C76810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</w:t>
      </w:r>
      <w:r w:rsidR="00876932">
        <w:rPr>
          <w:b w:val="0"/>
          <w:bCs w:val="0"/>
          <w:snapToGrid w:val="0"/>
          <w:sz w:val="20"/>
          <w:szCs w:val="20"/>
        </w:rPr>
        <w:t>issão Nacional de Efetividade da</w:t>
      </w:r>
      <w:r>
        <w:rPr>
          <w:b w:val="0"/>
          <w:bCs w:val="0"/>
          <w:snapToGrid w:val="0"/>
          <w:sz w:val="20"/>
          <w:szCs w:val="20"/>
        </w:rPr>
        <w:t xml:space="preserve">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FE" w:rsidRDefault="00B514FE">
      <w:r>
        <w:separator/>
      </w:r>
    </w:p>
  </w:endnote>
  <w:endnote w:type="continuationSeparator" w:id="0">
    <w:p w:rsidR="00B514FE" w:rsidRDefault="00B5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681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9F55FB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FE" w:rsidRDefault="00B514FE">
      <w:r>
        <w:separator/>
      </w:r>
    </w:p>
  </w:footnote>
  <w:footnote w:type="continuationSeparator" w:id="0">
    <w:p w:rsidR="00B514FE" w:rsidRDefault="00B5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072A6F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F40388">
      <w:rPr>
        <w:shadow/>
        <w:sz w:val="24"/>
        <w:szCs w:val="24"/>
      </w:rPr>
      <w:t>22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F40388">
      <w:rPr>
        <w:sz w:val="20"/>
        <w:szCs w:val="20"/>
      </w:rPr>
      <w:t>1º a 22 de</w:t>
    </w:r>
    <w:r w:rsidR="00C20DC8">
      <w:rPr>
        <w:sz w:val="20"/>
        <w:szCs w:val="20"/>
      </w:rPr>
      <w:t xml:space="preserve"> </w:t>
    </w:r>
    <w:r w:rsidR="00F40388">
      <w:rPr>
        <w:sz w:val="20"/>
        <w:szCs w:val="20"/>
      </w:rPr>
      <w:t>fevereiro</w:t>
    </w:r>
    <w:r w:rsidR="00C20DC8">
      <w:rPr>
        <w:sz w:val="20"/>
        <w:szCs w:val="20"/>
      </w:rPr>
      <w:t xml:space="preserve"> de </w:t>
    </w:r>
    <w:r w:rsidR="00FE00AD" w:rsidRPr="00971E07">
      <w:rPr>
        <w:sz w:val="20"/>
        <w:szCs w:val="20"/>
      </w:rPr>
      <w:t>20</w:t>
    </w:r>
    <w:r w:rsidR="00E16E01" w:rsidRPr="00971E07">
      <w:rPr>
        <w:sz w:val="20"/>
        <w:szCs w:val="20"/>
      </w:rPr>
      <w:t>1</w:t>
    </w:r>
    <w:r w:rsidR="00F40388">
      <w:rPr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E73DEC">
      <w:rPr>
        <w:b/>
        <w:sz w:val="40"/>
        <w:szCs w:val="40"/>
      </w:rPr>
      <w:t>2</w:t>
    </w:r>
    <w:r w:rsidR="00C76810">
      <w:rPr>
        <w:b/>
        <w:sz w:val="40"/>
        <w:szCs w:val="40"/>
      </w:rPr>
      <w:t>5</w:t>
    </w:r>
  </w:p>
  <w:p w:rsidR="005221E4" w:rsidRPr="005D1DE4" w:rsidRDefault="005221E4" w:rsidP="005221E4">
    <w:pPr>
      <w:pStyle w:val="Cabealho"/>
      <w:jc w:val="right"/>
    </w:pPr>
    <w:r>
      <w:rPr>
        <w:i/>
        <w:iCs/>
      </w:rPr>
      <w:t>Período:</w:t>
    </w:r>
    <w:r w:rsidR="00876932">
      <w:rPr>
        <w:i/>
        <w:iCs/>
      </w:rPr>
      <w:t xml:space="preserve"> 2</w:t>
    </w:r>
    <w:r w:rsidR="00C76810">
      <w:rPr>
        <w:i/>
        <w:iCs/>
      </w:rPr>
      <w:t xml:space="preserve">8 de </w:t>
    </w:r>
    <w:r w:rsidR="00B328A2">
      <w:rPr>
        <w:i/>
        <w:iCs/>
      </w:rPr>
      <w:t>junho</w:t>
    </w:r>
    <w:r w:rsidR="00C76810">
      <w:rPr>
        <w:i/>
        <w:iCs/>
      </w:rPr>
      <w:t xml:space="preserve"> a 1º de agosto</w:t>
    </w:r>
    <w:r w:rsidR="00876932">
      <w:rPr>
        <w:i/>
        <w:iCs/>
      </w:rPr>
      <w:t xml:space="preserve"> </w:t>
    </w:r>
    <w:r w:rsidR="008547E5">
      <w:rPr>
        <w:i/>
        <w:iCs/>
      </w:rPr>
      <w:t>de 201</w:t>
    </w:r>
    <w:r w:rsidR="00534BC6">
      <w:rPr>
        <w:i/>
        <w:iCs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632E4"/>
    <w:rsid w:val="00072A6F"/>
    <w:rsid w:val="000733B4"/>
    <w:rsid w:val="00073880"/>
    <w:rsid w:val="00075BDB"/>
    <w:rsid w:val="00080F10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D0FC8"/>
    <w:rsid w:val="000E0A91"/>
    <w:rsid w:val="000E0B8C"/>
    <w:rsid w:val="00110AE4"/>
    <w:rsid w:val="0011575C"/>
    <w:rsid w:val="0011692E"/>
    <w:rsid w:val="00126301"/>
    <w:rsid w:val="00137564"/>
    <w:rsid w:val="00137DC1"/>
    <w:rsid w:val="001418E3"/>
    <w:rsid w:val="0015612D"/>
    <w:rsid w:val="001655D0"/>
    <w:rsid w:val="00176D15"/>
    <w:rsid w:val="00184590"/>
    <w:rsid w:val="00187762"/>
    <w:rsid w:val="00187A37"/>
    <w:rsid w:val="0019151D"/>
    <w:rsid w:val="00193208"/>
    <w:rsid w:val="0019725D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3892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77CC6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4086"/>
    <w:rsid w:val="003A5E5B"/>
    <w:rsid w:val="003A75E8"/>
    <w:rsid w:val="003B045C"/>
    <w:rsid w:val="003B0A59"/>
    <w:rsid w:val="003B3EB5"/>
    <w:rsid w:val="003B4E23"/>
    <w:rsid w:val="003B767E"/>
    <w:rsid w:val="003C6FE7"/>
    <w:rsid w:val="003D032E"/>
    <w:rsid w:val="003D399C"/>
    <w:rsid w:val="003D4205"/>
    <w:rsid w:val="003F2078"/>
    <w:rsid w:val="003F49C6"/>
    <w:rsid w:val="0042772A"/>
    <w:rsid w:val="0042781A"/>
    <w:rsid w:val="004323B0"/>
    <w:rsid w:val="00434655"/>
    <w:rsid w:val="004407B4"/>
    <w:rsid w:val="00444C71"/>
    <w:rsid w:val="00444E88"/>
    <w:rsid w:val="0045657C"/>
    <w:rsid w:val="004655CC"/>
    <w:rsid w:val="00466DB9"/>
    <w:rsid w:val="00474C4A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4F6939"/>
    <w:rsid w:val="0051538E"/>
    <w:rsid w:val="00517E01"/>
    <w:rsid w:val="00521EEC"/>
    <w:rsid w:val="005221E4"/>
    <w:rsid w:val="00525E80"/>
    <w:rsid w:val="005347E7"/>
    <w:rsid w:val="00534BC6"/>
    <w:rsid w:val="005460BD"/>
    <w:rsid w:val="00553197"/>
    <w:rsid w:val="0055409E"/>
    <w:rsid w:val="00556367"/>
    <w:rsid w:val="00556B35"/>
    <w:rsid w:val="00573E13"/>
    <w:rsid w:val="00584F82"/>
    <w:rsid w:val="00591DFA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069B0"/>
    <w:rsid w:val="006145AC"/>
    <w:rsid w:val="00615F98"/>
    <w:rsid w:val="00621F9C"/>
    <w:rsid w:val="00631166"/>
    <w:rsid w:val="00631F1C"/>
    <w:rsid w:val="006366A4"/>
    <w:rsid w:val="006456B1"/>
    <w:rsid w:val="006564EC"/>
    <w:rsid w:val="00660228"/>
    <w:rsid w:val="0066084C"/>
    <w:rsid w:val="006672C1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0F93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767E8"/>
    <w:rsid w:val="00792542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7E5"/>
    <w:rsid w:val="00854DB8"/>
    <w:rsid w:val="00854EF2"/>
    <w:rsid w:val="00863B86"/>
    <w:rsid w:val="00871F69"/>
    <w:rsid w:val="00876932"/>
    <w:rsid w:val="008842D0"/>
    <w:rsid w:val="00884AC4"/>
    <w:rsid w:val="0088579D"/>
    <w:rsid w:val="008A0E41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4AEC"/>
    <w:rsid w:val="008F6509"/>
    <w:rsid w:val="008F79D9"/>
    <w:rsid w:val="009027C8"/>
    <w:rsid w:val="00913D22"/>
    <w:rsid w:val="00930E93"/>
    <w:rsid w:val="0093467A"/>
    <w:rsid w:val="0094155C"/>
    <w:rsid w:val="00943437"/>
    <w:rsid w:val="00951531"/>
    <w:rsid w:val="00952ED9"/>
    <w:rsid w:val="00957CAC"/>
    <w:rsid w:val="00960A3B"/>
    <w:rsid w:val="00967DE0"/>
    <w:rsid w:val="00971E07"/>
    <w:rsid w:val="00980944"/>
    <w:rsid w:val="00986D77"/>
    <w:rsid w:val="009943EC"/>
    <w:rsid w:val="009A32D5"/>
    <w:rsid w:val="009A7184"/>
    <w:rsid w:val="009B6012"/>
    <w:rsid w:val="009C102D"/>
    <w:rsid w:val="009C2A4F"/>
    <w:rsid w:val="009D4C59"/>
    <w:rsid w:val="009D7F91"/>
    <w:rsid w:val="009E20EF"/>
    <w:rsid w:val="009E26EE"/>
    <w:rsid w:val="009F21A2"/>
    <w:rsid w:val="009F55FB"/>
    <w:rsid w:val="00A007E0"/>
    <w:rsid w:val="00A1108F"/>
    <w:rsid w:val="00A32FBF"/>
    <w:rsid w:val="00A407EA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AF102C"/>
    <w:rsid w:val="00B14F7F"/>
    <w:rsid w:val="00B16EB9"/>
    <w:rsid w:val="00B22F24"/>
    <w:rsid w:val="00B22F53"/>
    <w:rsid w:val="00B24DBE"/>
    <w:rsid w:val="00B328A2"/>
    <w:rsid w:val="00B34EB2"/>
    <w:rsid w:val="00B514FE"/>
    <w:rsid w:val="00B517C3"/>
    <w:rsid w:val="00B518B2"/>
    <w:rsid w:val="00B526EA"/>
    <w:rsid w:val="00B536FE"/>
    <w:rsid w:val="00B619B3"/>
    <w:rsid w:val="00B73FFA"/>
    <w:rsid w:val="00B76A85"/>
    <w:rsid w:val="00B819BC"/>
    <w:rsid w:val="00B874F1"/>
    <w:rsid w:val="00BC1DE7"/>
    <w:rsid w:val="00BC5AEE"/>
    <w:rsid w:val="00BD6029"/>
    <w:rsid w:val="00BE0541"/>
    <w:rsid w:val="00BE1ADB"/>
    <w:rsid w:val="00C070DE"/>
    <w:rsid w:val="00C1089B"/>
    <w:rsid w:val="00C20DC8"/>
    <w:rsid w:val="00C210C3"/>
    <w:rsid w:val="00C26DFB"/>
    <w:rsid w:val="00C273FA"/>
    <w:rsid w:val="00C30D06"/>
    <w:rsid w:val="00C35E04"/>
    <w:rsid w:val="00C42067"/>
    <w:rsid w:val="00C432D0"/>
    <w:rsid w:val="00C4398E"/>
    <w:rsid w:val="00C4737F"/>
    <w:rsid w:val="00C60B4A"/>
    <w:rsid w:val="00C62C5E"/>
    <w:rsid w:val="00C65BDB"/>
    <w:rsid w:val="00C71A3B"/>
    <w:rsid w:val="00C76810"/>
    <w:rsid w:val="00C76CFA"/>
    <w:rsid w:val="00C963F8"/>
    <w:rsid w:val="00C96BB1"/>
    <w:rsid w:val="00CA1806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317F2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4DAF"/>
    <w:rsid w:val="00E070D2"/>
    <w:rsid w:val="00E1539C"/>
    <w:rsid w:val="00E162B6"/>
    <w:rsid w:val="00E16E01"/>
    <w:rsid w:val="00E24A50"/>
    <w:rsid w:val="00E35639"/>
    <w:rsid w:val="00E36856"/>
    <w:rsid w:val="00E41702"/>
    <w:rsid w:val="00E432CC"/>
    <w:rsid w:val="00E50711"/>
    <w:rsid w:val="00E60EDA"/>
    <w:rsid w:val="00E62BBC"/>
    <w:rsid w:val="00E73DE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273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1D0C"/>
    <w:rsid w:val="00F402B4"/>
    <w:rsid w:val="00F40388"/>
    <w:rsid w:val="00F511EE"/>
    <w:rsid w:val="00F511F9"/>
    <w:rsid w:val="00F558E7"/>
    <w:rsid w:val="00F57F9E"/>
    <w:rsid w:val="00F62016"/>
    <w:rsid w:val="00F63F44"/>
    <w:rsid w:val="00F6746D"/>
    <w:rsid w:val="00F7499A"/>
    <w:rsid w:val="00F760B5"/>
    <w:rsid w:val="00F768EF"/>
    <w:rsid w:val="00F811CD"/>
    <w:rsid w:val="00F82D8F"/>
    <w:rsid w:val="00F83F62"/>
    <w:rsid w:val="00F9711D"/>
    <w:rsid w:val="00F97550"/>
    <w:rsid w:val="00F979EA"/>
    <w:rsid w:val="00FA75E0"/>
    <w:rsid w:val="00FB20B1"/>
    <w:rsid w:val="00FB3AB4"/>
    <w:rsid w:val="00FC39C3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  <w:style w:type="character" w:customStyle="1" w:styleId="f51">
    <w:name w:val="f51"/>
    <w:rsid w:val="00876932"/>
    <w:rPr>
      <w:rFonts w:ascii="Times" w:hAnsi="Time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2937&amp;digitoTst=96&amp;anoTst=2011&amp;orgaoTst=5&amp;tribunalTst=09&amp;varaTst=00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981&amp;digitoTst=08&amp;anoTst=2012&amp;orgaoTst=5&amp;tribunalTst=15&amp;varaTst=000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75EE-E97F-430C-9A2D-EF06364A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3687</CharactersWithSpaces>
  <SharedDoc>false</SharedDoc>
  <HLinks>
    <vt:vector size="12" baseType="variant"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http://aplicacao4.tst.jus.br/consultaProcessual/consultaTstNumUnica.do?consulta=Consultar&amp;conscsjt=&amp;numeroTst=1981&amp;digitoTst=08&amp;anoTst=2012&amp;orgaoTst=5&amp;tribunalTst=15&amp;varaTst=0000</vt:lpwstr>
      </vt:variant>
      <vt:variant>
        <vt:lpwstr/>
      </vt:variant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http://aplicacao4.tst.jus.br/consultaProcessual/consultaTstNumUnica.do?consulta=Consultar&amp;conscsjt=&amp;numeroTst=2937&amp;digitoTst=96&amp;anoTst=2011&amp;orgaoTst=5&amp;tribunalTst=09&amp;varaTst=0009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2016-02-26T20:47:00Z</cp:lastPrinted>
  <dcterms:created xsi:type="dcterms:W3CDTF">2017-05-18T23:09:00Z</dcterms:created>
  <dcterms:modified xsi:type="dcterms:W3CDTF">2017-05-18T23:09:00Z</dcterms:modified>
</cp:coreProperties>
</file>