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0E0B8C" w:rsidRDefault="00E41702" w:rsidP="005460BD">
      <w:pPr>
        <w:ind w:right="-71"/>
        <w:jc w:val="both"/>
        <w:rPr>
          <w:b/>
          <w:i/>
        </w:rPr>
      </w:pPr>
    </w:p>
    <w:p w:rsidR="00E73DEC" w:rsidRPr="00971E07" w:rsidRDefault="00F768EF" w:rsidP="00E73D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="00E73DEC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768EF" w:rsidRPr="00F40388" w:rsidRDefault="00F768EF" w:rsidP="00F768EF">
      <w:pPr>
        <w:jc w:val="both"/>
        <w:rPr>
          <w:sz w:val="24"/>
          <w:szCs w:val="24"/>
        </w:rPr>
      </w:pPr>
    </w:p>
    <w:p w:rsidR="00F40388" w:rsidRDefault="00F40388" w:rsidP="00F4038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Ação rescisória. Penhora não inscrita no registro imobiliário ao tempo da alienação do imóvel. Terceiro de boa-fé. Fraude à execução. Não ocorrência. </w:t>
      </w:r>
    </w:p>
    <w:p w:rsidR="00F40388" w:rsidRDefault="00F40388" w:rsidP="00F403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Para a caracterização da fraude à execução, quando i</w:t>
      </w:r>
      <w:r w:rsidRPr="00D10A28">
        <w:rPr>
          <w:sz w:val="24"/>
          <w:szCs w:val="24"/>
        </w:rPr>
        <w:t xml:space="preserve">nexistente </w:t>
      </w:r>
      <w:r>
        <w:rPr>
          <w:sz w:val="24"/>
          <w:szCs w:val="24"/>
        </w:rPr>
        <w:t xml:space="preserve">penhora inscrita no registro imobiliário, não basta a mera constatação de que o negócio jurídico se operou quando corria processo em desfavor do alienante capaz de reduzi-lo à insolvência (requisito objetivo), sendo necessária a demonstração de má-fé do terceiro adquirente (requisito subjetivo). Na hipótese, </w:t>
      </w:r>
      <w:r w:rsidRPr="00D10A28">
        <w:rPr>
          <w:sz w:val="24"/>
          <w:szCs w:val="24"/>
        </w:rPr>
        <w:t xml:space="preserve">o </w:t>
      </w:r>
      <w:r>
        <w:rPr>
          <w:sz w:val="24"/>
          <w:szCs w:val="24"/>
        </w:rPr>
        <w:t>TRT, nos autos do processo matriz,</w:t>
      </w:r>
      <w:r w:rsidRPr="00D10A28">
        <w:rPr>
          <w:sz w:val="24"/>
          <w:szCs w:val="24"/>
        </w:rPr>
        <w:t xml:space="preserve"> negou provimento a agravo de petição</w:t>
      </w:r>
      <w:r>
        <w:rPr>
          <w:sz w:val="24"/>
          <w:szCs w:val="24"/>
        </w:rPr>
        <w:t xml:space="preserve"> </w:t>
      </w:r>
      <w:r w:rsidRPr="00D10A28">
        <w:rPr>
          <w:sz w:val="24"/>
          <w:szCs w:val="24"/>
        </w:rPr>
        <w:t>ao fundamento de que o preenchimento do requisito objetivo (alienação no curso de processo pendente) cumulado com a ausência/dispensa de pesquisa quanto aos débitos capazes de conduzir o alienante à insolvência c</w:t>
      </w:r>
      <w:r>
        <w:rPr>
          <w:sz w:val="24"/>
          <w:szCs w:val="24"/>
        </w:rPr>
        <w:t>aracterizaram a fraude à execução, porque denotada a má-fé do</w:t>
      </w:r>
      <w:r w:rsidRPr="00D10A28">
        <w:rPr>
          <w:sz w:val="24"/>
          <w:szCs w:val="24"/>
        </w:rPr>
        <w:t xml:space="preserve"> adquirente</w:t>
      </w:r>
      <w:r>
        <w:rPr>
          <w:sz w:val="24"/>
          <w:szCs w:val="24"/>
        </w:rPr>
        <w:t xml:space="preserve">. Todavia, documento constante dos autos revelou que em 23.1.2007, a penhora ocorrida em 28.1.2003 não estava registrada junto ao cartório de registro de imóveis. Assim, o Tribunal Regional, ao afastar a boa-fé do adquirente, mesmo diante da realização de pesquisa de eventual óbice à transação imobiliária, violou o art. 593, II, do CPC. Sob esses fundamentos, a SBDI-II, por unanimidade, conheceu do recurso ordinário em ação rescisória e, no mérito, deu-lhe provimento para desconstituir o acórdão do TRT prolatado nos autos de embargos de terceiro e, em juízo rescisório, dar provimento ao agravo de petição da embargante para desconstituir a penhora. </w:t>
      </w:r>
      <w:hyperlink r:id="rId8" w:history="1">
        <w:r w:rsidRPr="006069B0">
          <w:rPr>
            <w:rStyle w:val="Hyperlink"/>
            <w:sz w:val="24"/>
            <w:szCs w:val="24"/>
          </w:rPr>
          <w:t>TST-RO-239-94.2012.5.06.0000</w:t>
        </w:r>
      </w:hyperlink>
      <w:r>
        <w:rPr>
          <w:sz w:val="24"/>
          <w:szCs w:val="24"/>
          <w:u w:val="single"/>
        </w:rPr>
        <w:t>, SB</w:t>
      </w:r>
      <w:r w:rsidRPr="00B4525E">
        <w:rPr>
          <w:sz w:val="24"/>
          <w:szCs w:val="24"/>
          <w:u w:val="single"/>
        </w:rPr>
        <w:t>DI-</w:t>
      </w:r>
      <w:r>
        <w:rPr>
          <w:sz w:val="24"/>
          <w:szCs w:val="24"/>
          <w:u w:val="single"/>
        </w:rPr>
        <w:t>II</w:t>
      </w:r>
      <w:r w:rsidRPr="00B4525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Alberto Luiz Bresciani de Fontan Pereira</w:t>
      </w:r>
      <w:r w:rsidRPr="00B4525E">
        <w:rPr>
          <w:sz w:val="24"/>
          <w:szCs w:val="24"/>
          <w:u w:val="single"/>
        </w:rPr>
        <w:t xml:space="preserve">, </w:t>
      </w:r>
      <w:r w:rsidRPr="007250F8">
        <w:rPr>
          <w:sz w:val="24"/>
          <w:szCs w:val="24"/>
          <w:u w:val="single"/>
        </w:rPr>
        <w:t>2.2.2016</w:t>
      </w:r>
    </w:p>
    <w:p w:rsidR="00F768EF" w:rsidRDefault="00F768EF" w:rsidP="00E73DEC">
      <w:pPr>
        <w:jc w:val="both"/>
        <w:rPr>
          <w:b/>
          <w:i/>
          <w:sz w:val="24"/>
          <w:szCs w:val="24"/>
        </w:rPr>
      </w:pPr>
    </w:p>
    <w:p w:rsidR="00F40388" w:rsidRPr="00F40388" w:rsidRDefault="00F40388" w:rsidP="00F40388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lang w:val="pt-BR"/>
        </w:rPr>
      </w:pPr>
      <w:r w:rsidRPr="00F40388">
        <w:rPr>
          <w:rFonts w:ascii="Times New Roman" w:hAnsi="Times New Roman" w:cs="Times New Roman"/>
          <w:b/>
          <w:bCs/>
          <w:i/>
          <w:lang w:val="pt-BR"/>
        </w:rPr>
        <w:t>Conta poupança utilizada como conta corrente. Valores passíveis de penhora. Art. 649, X, do CPC. Não incidência.</w:t>
      </w:r>
    </w:p>
    <w:p w:rsidR="00F40388" w:rsidRDefault="00F40388" w:rsidP="00F40388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 w:rsidRPr="00F40388">
        <w:rPr>
          <w:rFonts w:ascii="Times New Roman" w:hAnsi="Times New Roman" w:cs="Times New Roman"/>
          <w:lang w:val="pt-BR"/>
        </w:rPr>
        <w:t xml:space="preserve">A impenhorabilidade de que trata o art. 649, X, do CPC não alcança valores depositados em conta poupança quando esta é utilizada como conta corrente, sem o cunho de economia futura e segurança pessoal. No caso, registrou-se que os valores em depósito eram empregados em necessidades corriqueiras ou como suporte a transações financeiras efetuadas na conta corrente. Sob esse entendimento, a SBDI-II, por unanimidade, conheceu do recurso ordinário e, no mérito, negou-lhe provimento. </w:t>
      </w:r>
      <w:hyperlink r:id="rId9" w:history="1">
        <w:r w:rsidRPr="006069B0">
          <w:rPr>
            <w:rStyle w:val="Hyperlink"/>
            <w:rFonts w:ascii="Times New Roman" w:hAnsi="Times New Roman"/>
            <w:lang w:val="pt-BR"/>
          </w:rPr>
          <w:t>TST-RO-20598-85.2013.5.04.0000</w:t>
        </w:r>
      </w:hyperlink>
      <w:r w:rsidRPr="00F40388">
        <w:rPr>
          <w:rFonts w:ascii="Times New Roman" w:hAnsi="Times New Roman" w:cs="Times New Roman"/>
          <w:u w:val="single"/>
          <w:lang w:val="pt-BR"/>
        </w:rPr>
        <w:t>, SBDI-II, rel. Min. Luiz Philippe Vieira de Mello Filho, 16.2.2016</w:t>
      </w:r>
    </w:p>
    <w:p w:rsidR="00F40388" w:rsidRDefault="00F40388" w:rsidP="00F40388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F40388" w:rsidRPr="00F40388" w:rsidRDefault="00F40388" w:rsidP="00F40388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F40388">
        <w:rPr>
          <w:rFonts w:ascii="Times New Roman" w:hAnsi="Times New Roman" w:cs="Times New Roman"/>
          <w:b/>
          <w:bCs/>
          <w:i/>
          <w:lang w:val="pt-BR"/>
        </w:rPr>
        <w:t xml:space="preserve">Conflito negativo de competência. Execução por carta precatória. Penhora </w:t>
      </w:r>
      <w:r w:rsidRPr="00F40388">
        <w:rPr>
          <w:rFonts w:ascii="Times New Roman" w:hAnsi="Times New Roman" w:cs="Times New Roman"/>
          <w:b/>
          <w:i/>
          <w:lang w:val="pt-BR"/>
        </w:rPr>
        <w:t xml:space="preserve">do bem imóvel situado fora dos limites territoriais do juízo onde tramita a execução. </w:t>
      </w:r>
      <w:r w:rsidRPr="00F40388">
        <w:rPr>
          <w:rFonts w:ascii="Times New Roman" w:hAnsi="Times New Roman" w:cs="Times New Roman"/>
          <w:b/>
          <w:bCs/>
          <w:i/>
          <w:lang w:val="pt-BR"/>
        </w:rPr>
        <w:t xml:space="preserve">Competência do juízo deprecado. </w:t>
      </w:r>
    </w:p>
    <w:p w:rsidR="00F40388" w:rsidRPr="00F40388" w:rsidRDefault="00F40388" w:rsidP="00F40388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F40388">
        <w:rPr>
          <w:rFonts w:ascii="Times New Roman" w:hAnsi="Times New Roman" w:cs="Times New Roman"/>
          <w:lang w:val="pt-BR"/>
        </w:rPr>
        <w:t xml:space="preserve">Nas hipóteses em que existirem bens do executado em outro foro, os atos de penhora, avaliação e alienação deverão ser praticados perante o juízo deprecado (arts. 658 e 747 do CPC). No caso, o Juízo da 6ª Vara do Trabalho de Guarulhos/SP, deprecante, suscitou conflito negativo de competência em face da devolução da carta precatória executória pelo Juízo da Vara do Trabalho de Itanhaém/SP, o qual entendera que sua atuação se limitava à avaliação do imóvel, depois de penhorado pela origem, cabendo a esta os atos posteriores, inclusive a designação e a realização de hasta pública. Assim, a SBDI-II, por unanimidade, admitiu o conflito de competência para declarar a competência da Vara do Trabalho de Itanhaém/SP, deprecado, para onde serão remetidos os autos. </w:t>
      </w:r>
      <w:hyperlink r:id="rId10" w:history="1">
        <w:r w:rsidRPr="006069B0">
          <w:rPr>
            <w:rStyle w:val="Hyperlink"/>
            <w:rFonts w:ascii="Times New Roman" w:hAnsi="Times New Roman"/>
            <w:lang w:val="pt-BR"/>
          </w:rPr>
          <w:t>TST-CC-167600-14.2008.5.02.0316</w:t>
        </w:r>
      </w:hyperlink>
      <w:r w:rsidRPr="00F40388">
        <w:rPr>
          <w:rFonts w:ascii="Times New Roman" w:hAnsi="Times New Roman" w:cs="Times New Roman"/>
          <w:u w:val="single"/>
          <w:lang w:val="pt-BR"/>
        </w:rPr>
        <w:t>, SBDI-II, rel. Min. Alberto Luiz Bresciani de Fontan Pereira, 16.2.2016</w:t>
      </w:r>
    </w:p>
    <w:p w:rsidR="00F40388" w:rsidRPr="00F40388" w:rsidRDefault="00F40388" w:rsidP="00F40388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E73DEC" w:rsidRDefault="00E73DEC" w:rsidP="00E73DE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E73DEC" w:rsidRDefault="00E73DEC" w:rsidP="00E73DE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434655" w:rsidRPr="005D1DE4" w:rsidRDefault="00434655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80" w:rsidRDefault="00525E80">
      <w:r>
        <w:separator/>
      </w:r>
    </w:p>
  </w:endnote>
  <w:endnote w:type="continuationSeparator" w:id="0">
    <w:p w:rsidR="00525E80" w:rsidRDefault="0052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232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92321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80" w:rsidRDefault="00525E80">
      <w:r>
        <w:separator/>
      </w:r>
    </w:p>
  </w:footnote>
  <w:footnote w:type="continuationSeparator" w:id="0">
    <w:p w:rsidR="00525E80" w:rsidRDefault="0052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40388">
      <w:rPr>
        <w:shadow/>
        <w:sz w:val="24"/>
        <w:szCs w:val="24"/>
      </w:rPr>
      <w:t>22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F40388">
      <w:rPr>
        <w:sz w:val="20"/>
        <w:szCs w:val="20"/>
      </w:rPr>
      <w:t>1º a 22 de</w:t>
    </w:r>
    <w:r w:rsidR="00C20DC8">
      <w:rPr>
        <w:sz w:val="20"/>
        <w:szCs w:val="20"/>
      </w:rPr>
      <w:t xml:space="preserve"> </w:t>
    </w:r>
    <w:r w:rsidR="00F40388">
      <w:rPr>
        <w:sz w:val="20"/>
        <w:szCs w:val="20"/>
      </w:rPr>
      <w:t>fevereiro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534BC6">
      <w:rPr>
        <w:b/>
        <w:sz w:val="40"/>
        <w:szCs w:val="40"/>
      </w:rPr>
      <w:t>2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 xml:space="preserve">Período: </w:t>
    </w:r>
    <w:r w:rsidR="00534BC6">
      <w:rPr>
        <w:i/>
        <w:iCs/>
      </w:rPr>
      <w:t>1º</w:t>
    </w:r>
    <w:r w:rsidR="00F768EF">
      <w:rPr>
        <w:i/>
        <w:iCs/>
      </w:rPr>
      <w:t xml:space="preserve"> a </w:t>
    </w:r>
    <w:r w:rsidR="00534BC6">
      <w:rPr>
        <w:i/>
        <w:iCs/>
      </w:rPr>
      <w:t>22</w:t>
    </w:r>
    <w:r w:rsidR="00F768EF">
      <w:rPr>
        <w:i/>
        <w:iCs/>
      </w:rPr>
      <w:t xml:space="preserve"> </w:t>
    </w:r>
    <w:r w:rsidR="00E73DEC">
      <w:rPr>
        <w:i/>
        <w:iCs/>
      </w:rPr>
      <w:t xml:space="preserve">de </w:t>
    </w:r>
    <w:r w:rsidR="00534BC6">
      <w:rPr>
        <w:i/>
        <w:iCs/>
      </w:rPr>
      <w:t>fevereiro</w:t>
    </w:r>
    <w:r w:rsidR="008547E5">
      <w:rPr>
        <w:i/>
        <w:iCs/>
      </w:rPr>
      <w:t xml:space="preserve"> de 201</w:t>
    </w:r>
    <w:r w:rsidR="00534BC6">
      <w:rPr>
        <w:i/>
        <w:iCs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21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25E80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39&amp;digitoTst=94&amp;anoTst=2012&amp;orgaoTst=5&amp;tribunalTst=06&amp;varaTst=0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67600&amp;digitoTst=14&amp;anoTst=2008&amp;orgaoTst=5&amp;tribunalTst=02&amp;varaTst=0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0598&amp;digitoTst=85&amp;anoTst=2013&amp;orgaoTst=5&amp;tribunalTst=04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93E-B7D9-4DC3-8F5B-428DA5BA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4575</CharactersWithSpaces>
  <SharedDoc>false</SharedDoc>
  <HLinks>
    <vt:vector size="18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http://aplicacao4.tst.jus.br/consultaProcessual/consultaTstNumUnica.do?consulta=Consultar&amp;conscsjt=&amp;numeroTst=167600&amp;digitoTst=14&amp;anoTst=2008&amp;orgaoTst=5&amp;tribunalTst=02&amp;varaTst=0316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http://aplicacao4.tst.jus.br/consultaProcessual/consultaTstNumUnica.do?consulta=Consultar&amp;conscsjt=&amp;numeroTst=20598&amp;digitoTst=85&amp;anoTst=2013&amp;orgaoTst=5&amp;tribunalTst=04&amp;varaTst=0000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http://aplicacao4.tst.jus.br/consultaProcessual/consultaTstNumUnica.do?consulta=Consultar&amp;conscsjt=&amp;numeroTst=239&amp;digitoTst=94&amp;anoTst=2012&amp;orgaoTst=5&amp;tribunalTst=06&amp;varaTst=0000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2016-02-26T20:47:00Z</cp:lastPrinted>
  <dcterms:created xsi:type="dcterms:W3CDTF">2017-05-18T23:09:00Z</dcterms:created>
  <dcterms:modified xsi:type="dcterms:W3CDTF">2017-05-18T23:09:00Z</dcterms:modified>
</cp:coreProperties>
</file>