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  <w:p w:rsidR="009576A1" w:rsidRPr="00187A37" w:rsidRDefault="009576A1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8A0948" w:rsidRPr="00971E07" w:rsidRDefault="008A0948" w:rsidP="008A0948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</w:t>
      </w:r>
      <w:r w:rsidR="00080833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5815F2" w:rsidRPr="00A87414" w:rsidRDefault="005815F2" w:rsidP="008A0948">
      <w:pPr>
        <w:jc w:val="both"/>
        <w:rPr>
          <w:b/>
          <w:i/>
          <w:sz w:val="10"/>
          <w:szCs w:val="10"/>
        </w:rPr>
      </w:pPr>
    </w:p>
    <w:p w:rsidR="00877DAB" w:rsidRDefault="00877DAB" w:rsidP="00877DAB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Execução. Valores reconhecidos em juízo. Recolhimento das respectivas contribuições previdenciárias. </w:t>
      </w:r>
      <w:r w:rsidRPr="00F701BD">
        <w:rPr>
          <w:b/>
          <w:i/>
          <w:sz w:val="24"/>
          <w:szCs w:val="24"/>
        </w:rPr>
        <w:t>Art. 195, I, “a”,</w:t>
      </w:r>
      <w:r>
        <w:rPr>
          <w:b/>
          <w:i/>
          <w:sz w:val="24"/>
          <w:szCs w:val="24"/>
        </w:rPr>
        <w:t xml:space="preserve"> da CF. Prestação de serviços iniciada antes da edição da Medida Provisória nº 449/2008 (convertida na Lei nº 11.941/2009). Fato gerador. Pagamento. Juros de mora a contar do dia dois do mês seguinte ao da liquidação da sentença. Art. 276 do Decreto nº 3.048/99.</w:t>
      </w:r>
    </w:p>
    <w:p w:rsidR="00877DAB" w:rsidRPr="009E701C" w:rsidRDefault="00877DAB" w:rsidP="00877D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Medida Provisória nº 449/2008, convertida na Lei nº 11.941/2009, fixou a prestação de serviços como fato gerador da contribuição previdenciária incidente sobre verbas trabalhistas reconhecidas em juízo. No entanto, para os contratos iniciados em período anterior à vigência da nova norma, o fato gerador é o crédito ou pagamento da importância devida. Incide, portanto, a regra do art. 276 do Decreto nº 3.048/1999, segundo a qual os juros e multa moratória pelo atraso no recolhimento são calculados a partir do segundo dia do mês seguinte ao da liquidação da sentença. Com base nesses fundamentos, a SBDI-I, por unanimidade, conheceu do recurso de embargos interpostos pela União, por divergência jurisprudencial, e, no mérito, negou-lhe provimento. </w:t>
      </w:r>
      <w:hyperlink r:id="rId8" w:history="1">
        <w:r w:rsidRPr="00877DAB">
          <w:rPr>
            <w:rStyle w:val="Hyperlink"/>
            <w:sz w:val="24"/>
            <w:szCs w:val="24"/>
          </w:rPr>
          <w:t>TST-ERR-116800-14.2010.5.13.0022</w:t>
        </w:r>
      </w:hyperlink>
      <w:r>
        <w:rPr>
          <w:sz w:val="24"/>
          <w:szCs w:val="24"/>
          <w:u w:val="single"/>
        </w:rPr>
        <w:t>, SBDI-I, Min. Aloysio Corrêa da Veiga, 12.3.2015</w:t>
      </w:r>
    </w:p>
    <w:p w:rsidR="00877DAB" w:rsidRPr="00A87414" w:rsidRDefault="00877DAB" w:rsidP="005815F2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A87414" w:rsidRPr="00971E07" w:rsidRDefault="00A87414" w:rsidP="00A8741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A87414" w:rsidRPr="00A87414" w:rsidRDefault="00A87414" w:rsidP="00A87414">
      <w:pPr>
        <w:jc w:val="both"/>
        <w:rPr>
          <w:b/>
          <w:i/>
          <w:sz w:val="10"/>
          <w:szCs w:val="10"/>
        </w:rPr>
      </w:pPr>
    </w:p>
    <w:p w:rsidR="00877DAB" w:rsidRPr="00F61FC8" w:rsidRDefault="00877DAB" w:rsidP="00877DAB">
      <w:pPr>
        <w:jc w:val="both"/>
        <w:rPr>
          <w:b/>
          <w:i/>
          <w:sz w:val="24"/>
          <w:szCs w:val="24"/>
        </w:rPr>
      </w:pPr>
      <w:r w:rsidRPr="00F61FC8">
        <w:rPr>
          <w:b/>
          <w:i/>
          <w:sz w:val="24"/>
          <w:szCs w:val="24"/>
        </w:rPr>
        <w:t xml:space="preserve">Mandado de segurança. Execução provisória. Indeferimento do prosseguimento até a penhora. </w:t>
      </w:r>
      <w:r>
        <w:rPr>
          <w:b/>
          <w:i/>
          <w:sz w:val="24"/>
          <w:szCs w:val="24"/>
        </w:rPr>
        <w:t xml:space="preserve">Impossibilidade. </w:t>
      </w:r>
      <w:r w:rsidRPr="00F61FC8">
        <w:rPr>
          <w:b/>
          <w:i/>
          <w:sz w:val="24"/>
          <w:szCs w:val="24"/>
        </w:rPr>
        <w:t>Art. 899 da CLT.</w:t>
      </w:r>
    </w:p>
    <w:p w:rsidR="00877DAB" w:rsidRDefault="00877DAB" w:rsidP="00877DAB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>Havendo expressa previsão de lei acerca da possibilidade de se promover a execução provisória no processo do trabalho até a penhora (</w:t>
      </w:r>
      <w:r w:rsidRPr="00F61FC8">
        <w:rPr>
          <w:rFonts w:ascii="Times New Roman" w:eastAsia="Calibri" w:hAnsi="Times New Roman" w:cs="Times New Roman"/>
          <w:color w:val="auto"/>
          <w:lang w:val="pt-BR" w:eastAsia="en-US"/>
        </w:rPr>
        <w:t>art. 899 da CLT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), fere direito líquido e certo da exequente a decisão que indefere </w:t>
      </w:r>
      <w:r w:rsidRPr="00F61FC8">
        <w:rPr>
          <w:rFonts w:ascii="Times New Roman" w:eastAsia="Calibri" w:hAnsi="Times New Roman" w:cs="Times New Roman"/>
          <w:color w:val="auto"/>
          <w:lang w:val="pt-BR" w:eastAsia="en-US"/>
        </w:rPr>
        <w:t xml:space="preserve">o prosseguimento da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referida </w:t>
      </w:r>
      <w:r w:rsidRPr="00F61FC8">
        <w:rPr>
          <w:rFonts w:ascii="Times New Roman" w:eastAsia="Calibri" w:hAnsi="Times New Roman" w:cs="Times New Roman"/>
          <w:color w:val="auto"/>
          <w:lang w:val="pt-BR" w:eastAsia="en-US"/>
        </w:rPr>
        <w:t xml:space="preserve">execução,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mesmo na hipótese em que há </w:t>
      </w:r>
      <w:r w:rsidRPr="00F61FC8">
        <w:rPr>
          <w:rFonts w:ascii="Times New Roman" w:eastAsia="Calibri" w:hAnsi="Times New Roman" w:cs="Times New Roman"/>
          <w:color w:val="auto"/>
          <w:lang w:val="pt-BR" w:eastAsia="en-US"/>
        </w:rPr>
        <w:t>recurso pendente de julgamento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. Ademais, no caso concreto, restou consignado que o indeferimento da execução provisória causa prejuízo à impetrante, </w:t>
      </w:r>
      <w:r w:rsidRPr="00F61FC8">
        <w:rPr>
          <w:rFonts w:ascii="Times New Roman" w:eastAsia="Calibri" w:hAnsi="Times New Roman" w:cs="Times New Roman"/>
          <w:color w:val="auto"/>
          <w:lang w:val="pt-BR" w:eastAsia="en-US"/>
        </w:rPr>
        <w:t>na medida em que a liquidação do julgado somente se iniciaria após o trânsito em julgado do processo matriz, impedindo a prévia apuração de valores impostos na condenação e, consequentemente, retardando a celeridade processual. Com esses fundamentos, a SBDI-II, por unanimidade, conheceu do recurso ordinário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F61FC8">
        <w:rPr>
          <w:rFonts w:ascii="Times New Roman" w:eastAsia="Calibri" w:hAnsi="Times New Roman" w:cs="Times New Roman"/>
          <w:color w:val="auto"/>
          <w:lang w:val="pt-BR" w:eastAsia="en-US"/>
        </w:rPr>
        <w:t xml:space="preserve"> e, no mérito, negou-lhe provimento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 mantendo a decisão do TRT que concedera a segurança para cassar ato judicial mediante o qual se indeferiu o prosseguimento da execução provisória nos autos de reclamação trabalhista</w:t>
      </w:r>
      <w:r w:rsidRPr="00F61FC8"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hyperlink r:id="rId9" w:history="1">
        <w:r w:rsidRPr="00877DAB">
          <w:rPr>
            <w:rStyle w:val="Hyperlink"/>
            <w:rFonts w:ascii="Times New Roman" w:hAnsi="Times New Roman" w:cs="Courier New"/>
            <w:lang w:val="pt-BR"/>
          </w:rPr>
          <w:t>TST-RO-6909-65.2013.5.15.0000</w:t>
        </w:r>
      </w:hyperlink>
      <w:r w:rsidRPr="00F61FC8">
        <w:rPr>
          <w:rFonts w:ascii="Times New Roman" w:hAnsi="Times New Roman"/>
          <w:u w:val="single"/>
          <w:lang w:val="pt-BR"/>
        </w:rPr>
        <w:t>, SBDI-II, rel. Min. Alberto Luiz Bresciani de Fontan Pereira, 3.3.2015</w:t>
      </w:r>
    </w:p>
    <w:p w:rsidR="00877DAB" w:rsidRDefault="00877DAB" w:rsidP="00877DAB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877DAB" w:rsidRDefault="00877DAB" w:rsidP="00877DA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Mandado de segurança. Medida liminar em reclamação correcional. Desmembramento de execuções unificadas pelo Juízo. Prosseguimento das execuções individualmente. Ordem de bloqueio de valores. Possibilidade. Inexistência de ofensa a direito líquido e certo.</w:t>
      </w:r>
    </w:p>
    <w:p w:rsidR="00877DAB" w:rsidRDefault="00877DAB" w:rsidP="00877DAB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A medida liminar concedida em sede de reclamação correcional, determinando o processamento autônomo das execuções indevidamente reunidas pela vara do trabalho, bem como o cancelamento de todos os atos constritivos decorrentes da unificação, não obsta o prosseguimento das execuções de forma individualizada perante o juízo competente, razão pela qual a ordem de bloqueio de valores da impetrante, visando à satisfação do crédito trabalhista, não se mostra conflitante com a liminar obtida.  Na espécie, a impetrante alegou que a determinação de constrição de valores em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lastRenderedPageBreak/>
        <w:t xml:space="preserve">conta corrente viola o direito de propriedade e a garantia da coisa julgada (art. 5º, caput, XXII, XXXVI, da CF), porquanto não viabiliza o cumprimento das obrigações de forma menos gravosa (art. 620, do CPC). Todavia, assegurada a possibilidade de defesa ampla, caso a caso, e não existindo na liminar concedida qualquer determinação de paralisação das execuções individuais, mas apenas a impossibilidade de tramitação unificada dos processos em curso, não há falar em afronta ao direito de propriedade ou à coisa julgada. De outra sorte, as alegações de que o bloqueio de verbas é medida mais gravosa, bem como as consequências advindas da constrição devem ser objeto de medida judicial própria, a atrair, portanto, o óbice da Orientação Jurisprudencial nº 92 da SBDI-II. Com esses fundamentos, a SBDI-II, por unanimidade, conheceu do recurso ordinário e, no mérito, negou-lhe provimento. Ressalvou a fundamentação o Ministro Luiz Philippe Vieira de Mello Filho. </w:t>
      </w:r>
      <w:hyperlink r:id="rId10" w:history="1">
        <w:r w:rsidRPr="00877DAB">
          <w:rPr>
            <w:rStyle w:val="Hyperlink"/>
            <w:rFonts w:ascii="Times New Roman" w:hAnsi="Times New Roman" w:cs="Courier New"/>
            <w:lang w:val="pt-BR"/>
          </w:rPr>
          <w:t>TST-RO-10190-96.2012.5.03.0000</w:t>
        </w:r>
      </w:hyperlink>
      <w:r w:rsidRPr="00895CC6">
        <w:rPr>
          <w:rFonts w:ascii="Times New Roman" w:hAnsi="Times New Roman"/>
          <w:u w:val="single"/>
          <w:lang w:val="pt-BR"/>
        </w:rPr>
        <w:t>, SBDI-</w:t>
      </w:r>
      <w:r>
        <w:rPr>
          <w:rFonts w:ascii="Times New Roman" w:hAnsi="Times New Roman"/>
          <w:u w:val="single"/>
          <w:lang w:val="pt-BR"/>
        </w:rPr>
        <w:t>II</w:t>
      </w:r>
      <w:r w:rsidRPr="00895CC6">
        <w:rPr>
          <w:rFonts w:ascii="Times New Roman" w:hAnsi="Times New Roman"/>
          <w:u w:val="single"/>
          <w:lang w:val="pt-BR"/>
        </w:rPr>
        <w:t xml:space="preserve">, rel. Min. </w:t>
      </w:r>
      <w:r>
        <w:rPr>
          <w:rFonts w:ascii="Times New Roman" w:hAnsi="Times New Roman"/>
          <w:u w:val="single"/>
          <w:lang w:val="pt-BR"/>
        </w:rPr>
        <w:t>Douglas Alencar Rodrigues</w:t>
      </w:r>
      <w:r w:rsidRPr="00895CC6">
        <w:rPr>
          <w:rFonts w:ascii="Times New Roman" w:hAnsi="Times New Roman"/>
          <w:u w:val="single"/>
          <w:lang w:val="pt-BR"/>
        </w:rPr>
        <w:t xml:space="preserve">, </w:t>
      </w:r>
      <w:r>
        <w:rPr>
          <w:rFonts w:ascii="Times New Roman" w:hAnsi="Times New Roman"/>
          <w:u w:val="single"/>
          <w:lang w:val="pt-BR"/>
        </w:rPr>
        <w:t>10.3.2015</w:t>
      </w:r>
    </w:p>
    <w:p w:rsidR="00877DAB" w:rsidRPr="00895CC6" w:rsidRDefault="00877DAB" w:rsidP="00877DAB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</w:p>
    <w:p w:rsidR="00877DAB" w:rsidRPr="00333D9F" w:rsidRDefault="00877DAB" w:rsidP="00877DA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Ação rescisória. </w:t>
      </w:r>
      <w:r w:rsidRPr="00333D9F">
        <w:rPr>
          <w:b/>
          <w:i/>
          <w:sz w:val="24"/>
          <w:szCs w:val="24"/>
        </w:rPr>
        <w:t>Arrematação.</w:t>
      </w:r>
      <w:r w:rsidRPr="00333D9F">
        <w:rPr>
          <w:b/>
          <w:bCs/>
          <w:i/>
          <w:sz w:val="24"/>
          <w:szCs w:val="24"/>
        </w:rPr>
        <w:t xml:space="preserve"> 40% do valor da avaliação. </w:t>
      </w:r>
      <w:r w:rsidRPr="00333D9F">
        <w:rPr>
          <w:b/>
          <w:i/>
          <w:sz w:val="24"/>
          <w:szCs w:val="24"/>
        </w:rPr>
        <w:t>Preço vil</w:t>
      </w:r>
      <w:r w:rsidRPr="00333D9F">
        <w:rPr>
          <w:b/>
          <w:bCs/>
          <w:i/>
          <w:sz w:val="24"/>
          <w:szCs w:val="24"/>
        </w:rPr>
        <w:t>.</w:t>
      </w:r>
      <w:r w:rsidRPr="00333D9F">
        <w:rPr>
          <w:b/>
          <w:i/>
          <w:sz w:val="24"/>
          <w:szCs w:val="24"/>
        </w:rPr>
        <w:t xml:space="preserve"> Ausência de definição legal. Violação do art.</w:t>
      </w:r>
      <w:r>
        <w:rPr>
          <w:b/>
          <w:i/>
          <w:sz w:val="24"/>
          <w:szCs w:val="24"/>
        </w:rPr>
        <w:t xml:space="preserve"> </w:t>
      </w:r>
      <w:r w:rsidRPr="00333D9F">
        <w:rPr>
          <w:b/>
          <w:i/>
          <w:sz w:val="24"/>
          <w:szCs w:val="24"/>
        </w:rPr>
        <w:t>694,</w:t>
      </w:r>
      <w:r>
        <w:rPr>
          <w:b/>
          <w:i/>
          <w:sz w:val="24"/>
          <w:szCs w:val="24"/>
        </w:rPr>
        <w:t xml:space="preserve"> </w:t>
      </w:r>
      <w:r w:rsidRPr="00333D9F">
        <w:rPr>
          <w:b/>
          <w:i/>
          <w:sz w:val="24"/>
          <w:szCs w:val="24"/>
        </w:rPr>
        <w:t xml:space="preserve">§ 1º, V do CPC. Não configuração. </w:t>
      </w:r>
    </w:p>
    <w:p w:rsidR="00877DAB" w:rsidRPr="002F2908" w:rsidRDefault="00877DAB" w:rsidP="00877DAB">
      <w:pPr>
        <w:jc w:val="both"/>
        <w:rPr>
          <w:sz w:val="24"/>
          <w:szCs w:val="24"/>
        </w:rPr>
      </w:pPr>
      <w:r w:rsidRPr="002F2908">
        <w:rPr>
          <w:sz w:val="24"/>
          <w:szCs w:val="24"/>
        </w:rPr>
        <w:t xml:space="preserve">A ausência de critérios na legislação pátria sobre o que vem a ser preço vil dificulta a caracterização de afronta </w:t>
      </w:r>
      <w:r>
        <w:rPr>
          <w:sz w:val="24"/>
          <w:szCs w:val="24"/>
        </w:rPr>
        <w:t>a</w:t>
      </w:r>
      <w:r w:rsidRPr="002F2908">
        <w:rPr>
          <w:sz w:val="24"/>
          <w:szCs w:val="24"/>
        </w:rPr>
        <w:t xml:space="preserve"> preceito de lei ap</w:t>
      </w:r>
      <w:r>
        <w:rPr>
          <w:sz w:val="24"/>
          <w:szCs w:val="24"/>
        </w:rPr>
        <w:t xml:space="preserve">ta a ensejar o corte rescisório. Trata-se de matéria controvertida a atrair a incidência da Súmula nº 83 do TST. Assim, na hipótese em que o bem fora arrematado por 40% do valor correspondente à avaliação, sem que tenha havido registro de que o </w:t>
      </w:r>
      <w:r w:rsidRPr="002F2908">
        <w:rPr>
          <w:sz w:val="24"/>
          <w:szCs w:val="24"/>
        </w:rPr>
        <w:t xml:space="preserve">juiz da execução </w:t>
      </w:r>
      <w:r>
        <w:rPr>
          <w:sz w:val="24"/>
          <w:szCs w:val="24"/>
        </w:rPr>
        <w:t xml:space="preserve">tenha desrespeitado </w:t>
      </w:r>
      <w:r w:rsidRPr="002F2908">
        <w:rPr>
          <w:sz w:val="24"/>
          <w:szCs w:val="24"/>
        </w:rPr>
        <w:t>os princípios da razoabilidade e da proporcionalidade no momento de avaliar o lance ofertado</w:t>
      </w:r>
      <w:r>
        <w:rPr>
          <w:sz w:val="24"/>
          <w:szCs w:val="24"/>
        </w:rPr>
        <w:t xml:space="preserve">, não é possível concluir pela violação do art. 694, § 1º, V, do CPC. Com esses fundamentos, a SBDI-II, por maioria, conheceu do recurso ordinário e, no mérito, negou-lhe provimento. Vencida a Ministra Delaíde Miranda Arantes. </w:t>
      </w:r>
      <w:hyperlink r:id="rId11" w:history="1">
        <w:r w:rsidRPr="00877DAB">
          <w:rPr>
            <w:rStyle w:val="Hyperlink"/>
            <w:sz w:val="24"/>
            <w:szCs w:val="24"/>
          </w:rPr>
          <w:t>TST-RO-19600-39.2011.5.13.0000</w:t>
        </w:r>
      </w:hyperlink>
      <w:r w:rsidRPr="00333D9F">
        <w:rPr>
          <w:sz w:val="24"/>
          <w:szCs w:val="24"/>
          <w:u w:val="single"/>
        </w:rPr>
        <w:t xml:space="preserve">, SBDI-II, rel. Min. </w:t>
      </w:r>
      <w:r>
        <w:rPr>
          <w:sz w:val="24"/>
          <w:szCs w:val="24"/>
          <w:u w:val="single"/>
        </w:rPr>
        <w:t xml:space="preserve">Emmanoel Pereira, </w:t>
      </w:r>
      <w:r w:rsidRPr="00333D9F">
        <w:rPr>
          <w:sz w:val="24"/>
          <w:szCs w:val="24"/>
          <w:u w:val="single"/>
        </w:rPr>
        <w:t>17.</w:t>
      </w:r>
      <w:r>
        <w:rPr>
          <w:sz w:val="24"/>
          <w:szCs w:val="24"/>
          <w:u w:val="single"/>
        </w:rPr>
        <w:t>3.2015</w:t>
      </w:r>
    </w:p>
    <w:p w:rsidR="00F1481D" w:rsidRDefault="00F1481D" w:rsidP="005815F2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A87414" w:rsidRDefault="00A87414" w:rsidP="005815F2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CE392D" w:rsidRPr="005D1DE4" w:rsidRDefault="00CE392D">
      <w:pPr>
        <w:jc w:val="both"/>
        <w:rPr>
          <w:sz w:val="22"/>
          <w:szCs w:val="22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Comissão Nacional de Efetividade de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FB" w:rsidRDefault="00A861FB">
      <w:r>
        <w:separator/>
      </w:r>
    </w:p>
  </w:endnote>
  <w:endnote w:type="continuationSeparator" w:id="0">
    <w:p w:rsidR="00A861FB" w:rsidRDefault="00A8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239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172396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FB" w:rsidRDefault="00A861FB">
      <w:r>
        <w:separator/>
      </w:r>
    </w:p>
  </w:footnote>
  <w:footnote w:type="continuationSeparator" w:id="0">
    <w:p w:rsidR="00A861FB" w:rsidRDefault="00A8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>Informativo TST</w:t>
    </w:r>
    <w:r w:rsidR="00627896">
      <w:rPr>
        <w:shadow/>
        <w:sz w:val="24"/>
        <w:szCs w:val="24"/>
      </w:rPr>
      <w:t xml:space="preserve"> Execução</w:t>
    </w:r>
    <w:r w:rsidRPr="00971E07">
      <w:rPr>
        <w:shadow/>
        <w:sz w:val="24"/>
        <w:szCs w:val="24"/>
      </w:rPr>
      <w:t xml:space="preserve">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87414">
      <w:rPr>
        <w:shadow/>
        <w:sz w:val="24"/>
        <w:szCs w:val="24"/>
      </w:rPr>
      <w:t>1</w:t>
    </w:r>
    <w:r w:rsidR="00877DAB">
      <w:rPr>
        <w:shadow/>
        <w:sz w:val="24"/>
        <w:szCs w:val="24"/>
      </w:rPr>
      <w:t>2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877DAB">
      <w:rPr>
        <w:sz w:val="20"/>
        <w:szCs w:val="20"/>
      </w:rPr>
      <w:t>3</w:t>
    </w:r>
    <w:r w:rsidR="00A87414">
      <w:rPr>
        <w:sz w:val="20"/>
        <w:szCs w:val="20"/>
      </w:rPr>
      <w:t xml:space="preserve"> a </w:t>
    </w:r>
    <w:r w:rsidR="00877DAB">
      <w:rPr>
        <w:sz w:val="20"/>
        <w:szCs w:val="20"/>
      </w:rPr>
      <w:t>23</w:t>
    </w:r>
    <w:r w:rsidR="00A87414">
      <w:rPr>
        <w:sz w:val="20"/>
        <w:szCs w:val="20"/>
      </w:rPr>
      <w:t xml:space="preserve"> de março de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582667">
    <w:pPr>
      <w:pStyle w:val="Cabealho"/>
      <w:tabs>
        <w:tab w:val="clear" w:pos="8838"/>
        <w:tab w:val="right" w:pos="9639"/>
      </w:tabs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F1481D">
      <w:rPr>
        <w:b/>
        <w:sz w:val="40"/>
        <w:szCs w:val="40"/>
      </w:rPr>
      <w:t>1</w:t>
    </w:r>
    <w:r w:rsidR="00877DAB">
      <w:rPr>
        <w:b/>
        <w:sz w:val="40"/>
        <w:szCs w:val="40"/>
      </w:rPr>
      <w:t>2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877DAB">
      <w:rPr>
        <w:i/>
        <w:iCs/>
      </w:rPr>
      <w:t>3</w:t>
    </w:r>
    <w:r w:rsidR="00A87414">
      <w:rPr>
        <w:i/>
        <w:iCs/>
      </w:rPr>
      <w:t xml:space="preserve"> a </w:t>
    </w:r>
    <w:r w:rsidR="00877DAB">
      <w:rPr>
        <w:i/>
        <w:iCs/>
      </w:rPr>
      <w:t>23</w:t>
    </w:r>
    <w:r w:rsidR="00A87414">
      <w:rPr>
        <w:i/>
        <w:iCs/>
      </w:rPr>
      <w:t xml:space="preserve"> de março </w:t>
    </w:r>
    <w:r w:rsidR="00F1481D">
      <w:rPr>
        <w:i/>
        <w:iCs/>
      </w:rPr>
      <w:t>de 2015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05D07"/>
    <w:rsid w:val="00010911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833"/>
    <w:rsid w:val="00080F10"/>
    <w:rsid w:val="00085E05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0360D"/>
    <w:rsid w:val="00111E6A"/>
    <w:rsid w:val="0011575C"/>
    <w:rsid w:val="0011692E"/>
    <w:rsid w:val="00137564"/>
    <w:rsid w:val="00137DC1"/>
    <w:rsid w:val="0015612D"/>
    <w:rsid w:val="001655D0"/>
    <w:rsid w:val="00165938"/>
    <w:rsid w:val="00172396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14FE"/>
    <w:rsid w:val="00206810"/>
    <w:rsid w:val="002168DE"/>
    <w:rsid w:val="00216BA3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175B"/>
    <w:rsid w:val="003B3EB5"/>
    <w:rsid w:val="003B4E23"/>
    <w:rsid w:val="003B767E"/>
    <w:rsid w:val="003C6FE7"/>
    <w:rsid w:val="003D032E"/>
    <w:rsid w:val="003D4205"/>
    <w:rsid w:val="003F2078"/>
    <w:rsid w:val="0042526F"/>
    <w:rsid w:val="0042772A"/>
    <w:rsid w:val="004323B0"/>
    <w:rsid w:val="00442085"/>
    <w:rsid w:val="00444E88"/>
    <w:rsid w:val="0045657C"/>
    <w:rsid w:val="004655CC"/>
    <w:rsid w:val="00465AF1"/>
    <w:rsid w:val="00466DB9"/>
    <w:rsid w:val="004748C8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26F9"/>
    <w:rsid w:val="0051538E"/>
    <w:rsid w:val="00517E01"/>
    <w:rsid w:val="00521EEC"/>
    <w:rsid w:val="005460BD"/>
    <w:rsid w:val="00553197"/>
    <w:rsid w:val="0055409E"/>
    <w:rsid w:val="005554C9"/>
    <w:rsid w:val="00556367"/>
    <w:rsid w:val="00556B35"/>
    <w:rsid w:val="00573E13"/>
    <w:rsid w:val="005815F2"/>
    <w:rsid w:val="00582667"/>
    <w:rsid w:val="00584F82"/>
    <w:rsid w:val="00591DFA"/>
    <w:rsid w:val="005A5695"/>
    <w:rsid w:val="005A779D"/>
    <w:rsid w:val="005B2A3C"/>
    <w:rsid w:val="005B2F00"/>
    <w:rsid w:val="005B57DE"/>
    <w:rsid w:val="005C1886"/>
    <w:rsid w:val="005C34BA"/>
    <w:rsid w:val="005C761E"/>
    <w:rsid w:val="005C793B"/>
    <w:rsid w:val="005D0E5F"/>
    <w:rsid w:val="005D1DE4"/>
    <w:rsid w:val="005D4F86"/>
    <w:rsid w:val="005E1A86"/>
    <w:rsid w:val="005E35BD"/>
    <w:rsid w:val="005E3D4D"/>
    <w:rsid w:val="005E7FD1"/>
    <w:rsid w:val="005F2858"/>
    <w:rsid w:val="005F7346"/>
    <w:rsid w:val="006002E3"/>
    <w:rsid w:val="006145AC"/>
    <w:rsid w:val="00615F98"/>
    <w:rsid w:val="0061615D"/>
    <w:rsid w:val="00621F9C"/>
    <w:rsid w:val="00627896"/>
    <w:rsid w:val="00631166"/>
    <w:rsid w:val="00631F1C"/>
    <w:rsid w:val="006366A4"/>
    <w:rsid w:val="006456B1"/>
    <w:rsid w:val="006564EC"/>
    <w:rsid w:val="0066084C"/>
    <w:rsid w:val="00662551"/>
    <w:rsid w:val="00672CF9"/>
    <w:rsid w:val="00672E11"/>
    <w:rsid w:val="0068273B"/>
    <w:rsid w:val="00691234"/>
    <w:rsid w:val="006931CC"/>
    <w:rsid w:val="006947F2"/>
    <w:rsid w:val="00697919"/>
    <w:rsid w:val="006A65B4"/>
    <w:rsid w:val="006B0757"/>
    <w:rsid w:val="006B3FCF"/>
    <w:rsid w:val="006B46CA"/>
    <w:rsid w:val="006C0391"/>
    <w:rsid w:val="006C28B3"/>
    <w:rsid w:val="006D1F66"/>
    <w:rsid w:val="006D306E"/>
    <w:rsid w:val="006D4497"/>
    <w:rsid w:val="006E3CB5"/>
    <w:rsid w:val="006F6C15"/>
    <w:rsid w:val="0070727E"/>
    <w:rsid w:val="00710D3A"/>
    <w:rsid w:val="00711C9D"/>
    <w:rsid w:val="0071315F"/>
    <w:rsid w:val="00721942"/>
    <w:rsid w:val="00722BE7"/>
    <w:rsid w:val="00732DF2"/>
    <w:rsid w:val="00735BF5"/>
    <w:rsid w:val="007403F2"/>
    <w:rsid w:val="00751607"/>
    <w:rsid w:val="007614F1"/>
    <w:rsid w:val="007618C5"/>
    <w:rsid w:val="00764066"/>
    <w:rsid w:val="00776118"/>
    <w:rsid w:val="007A2974"/>
    <w:rsid w:val="007B0F83"/>
    <w:rsid w:val="007C396B"/>
    <w:rsid w:val="007C5618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23D61"/>
    <w:rsid w:val="008409D3"/>
    <w:rsid w:val="00845559"/>
    <w:rsid w:val="00854DB8"/>
    <w:rsid w:val="00854EF2"/>
    <w:rsid w:val="00863B86"/>
    <w:rsid w:val="00871F69"/>
    <w:rsid w:val="00877DAB"/>
    <w:rsid w:val="008842D0"/>
    <w:rsid w:val="00884AC4"/>
    <w:rsid w:val="0088579D"/>
    <w:rsid w:val="008A0948"/>
    <w:rsid w:val="008A2A73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36242"/>
    <w:rsid w:val="0094155C"/>
    <w:rsid w:val="00951531"/>
    <w:rsid w:val="009576A1"/>
    <w:rsid w:val="00960A3B"/>
    <w:rsid w:val="00967DE0"/>
    <w:rsid w:val="00971E07"/>
    <w:rsid w:val="00980944"/>
    <w:rsid w:val="00986D77"/>
    <w:rsid w:val="009943EC"/>
    <w:rsid w:val="009A32D5"/>
    <w:rsid w:val="009A6ADB"/>
    <w:rsid w:val="009B4E0B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861FB"/>
    <w:rsid w:val="00A87414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1EBF"/>
    <w:rsid w:val="00B526EA"/>
    <w:rsid w:val="00B536FE"/>
    <w:rsid w:val="00B61E95"/>
    <w:rsid w:val="00B67CE0"/>
    <w:rsid w:val="00B73FFA"/>
    <w:rsid w:val="00B77069"/>
    <w:rsid w:val="00B874F1"/>
    <w:rsid w:val="00BB46CE"/>
    <w:rsid w:val="00BC1DE7"/>
    <w:rsid w:val="00BC5AEE"/>
    <w:rsid w:val="00BD6029"/>
    <w:rsid w:val="00BE0541"/>
    <w:rsid w:val="00BE1ADB"/>
    <w:rsid w:val="00BF6D1E"/>
    <w:rsid w:val="00C02586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CE392D"/>
    <w:rsid w:val="00D01C50"/>
    <w:rsid w:val="00D06690"/>
    <w:rsid w:val="00D11B24"/>
    <w:rsid w:val="00D133C8"/>
    <w:rsid w:val="00D14DB8"/>
    <w:rsid w:val="00D244D5"/>
    <w:rsid w:val="00D2776A"/>
    <w:rsid w:val="00D413DB"/>
    <w:rsid w:val="00D420E2"/>
    <w:rsid w:val="00D4459D"/>
    <w:rsid w:val="00D56443"/>
    <w:rsid w:val="00D573F9"/>
    <w:rsid w:val="00D6058B"/>
    <w:rsid w:val="00D63EC5"/>
    <w:rsid w:val="00D72C05"/>
    <w:rsid w:val="00D847CF"/>
    <w:rsid w:val="00DA0A99"/>
    <w:rsid w:val="00DA5E51"/>
    <w:rsid w:val="00DA7603"/>
    <w:rsid w:val="00DA7E39"/>
    <w:rsid w:val="00DA7EDE"/>
    <w:rsid w:val="00DC0AB5"/>
    <w:rsid w:val="00DC50EB"/>
    <w:rsid w:val="00DD3FA0"/>
    <w:rsid w:val="00DE1D07"/>
    <w:rsid w:val="00DE5B2D"/>
    <w:rsid w:val="00DE5CE9"/>
    <w:rsid w:val="00E03064"/>
    <w:rsid w:val="00E04BD5"/>
    <w:rsid w:val="00E070D2"/>
    <w:rsid w:val="00E1539C"/>
    <w:rsid w:val="00E162B6"/>
    <w:rsid w:val="00E16E01"/>
    <w:rsid w:val="00E22154"/>
    <w:rsid w:val="00E24A50"/>
    <w:rsid w:val="00E35639"/>
    <w:rsid w:val="00E432CC"/>
    <w:rsid w:val="00E50711"/>
    <w:rsid w:val="00E60EDA"/>
    <w:rsid w:val="00E62BBC"/>
    <w:rsid w:val="00E85D6F"/>
    <w:rsid w:val="00E9503C"/>
    <w:rsid w:val="00E956D9"/>
    <w:rsid w:val="00EA1958"/>
    <w:rsid w:val="00EA29F5"/>
    <w:rsid w:val="00EA482D"/>
    <w:rsid w:val="00EB5731"/>
    <w:rsid w:val="00EB5FE6"/>
    <w:rsid w:val="00EB61A5"/>
    <w:rsid w:val="00EB7A09"/>
    <w:rsid w:val="00EC5AF4"/>
    <w:rsid w:val="00EC5B58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481D"/>
    <w:rsid w:val="00F17A2C"/>
    <w:rsid w:val="00F26708"/>
    <w:rsid w:val="00F34182"/>
    <w:rsid w:val="00F511EE"/>
    <w:rsid w:val="00F558E7"/>
    <w:rsid w:val="00F62016"/>
    <w:rsid w:val="00F63F44"/>
    <w:rsid w:val="00F6746D"/>
    <w:rsid w:val="00F7499A"/>
    <w:rsid w:val="00F811CD"/>
    <w:rsid w:val="00F82D8F"/>
    <w:rsid w:val="00F83F62"/>
    <w:rsid w:val="00F9711D"/>
    <w:rsid w:val="00FA75E0"/>
    <w:rsid w:val="00FB0E75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f21">
    <w:name w:val="f21"/>
    <w:rsid w:val="009576A1"/>
    <w:rPr>
      <w:rFonts w:ascii="Times" w:hAnsi="Times" w:cs="Times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16800&amp;digitoTst=14&amp;anoTst=2010&amp;orgaoTst=5&amp;tribunalTst=13&amp;varaTst=00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19600&amp;digitoTst=39&amp;anoTst=2011&amp;orgaoTst=5&amp;tribunalTst=13&amp;varaTst=0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licacao5.tst.jus.br/consultaProcessual/consultaTstNumUnica.do?consulta=Consultar&amp;conscsjt=&amp;numeroTst=10190&amp;digitoTst=96&amp;anoTst=2012&amp;orgaoTst=5&amp;tribunalTst=03&amp;varaTst=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6909&amp;digitoTst=65&amp;anoTst=2013&amp;orgaoTst=5&amp;tribunalTst=15&amp;varaTst=000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8781-6F55-44F7-BEFD-48C4B237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6684</CharactersWithSpaces>
  <SharedDoc>false</SharedDoc>
  <HLinks>
    <vt:vector size="24" baseType="variant">
      <vt:variant>
        <vt:i4>1245190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https://aplicacao5.tst.jus.br/consultaProcessual/consultaTstNumUnica.do?consulta=Consultar&amp;conscsjt=&amp;numeroTst=19600&amp;digitoTst=39&amp;anoTst=2011&amp;orgaoTst=5&amp;tribunalTst=13&amp;varaTst=0000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https://aplicacao5.tst.jus.br/consultaProcessual/consultaTstNumUnica.do?consulta=Consultar&amp;conscsjt=&amp;numeroTst=10190&amp;digitoTst=96&amp;anoTst=2012&amp;orgaoTst=5&amp;tribunalTst=03&amp;varaTst=0000</vt:lpwstr>
      </vt:variant>
      <vt:variant>
        <vt:lpwstr/>
      </vt:variant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https://aplicacao5.tst.jus.br/consultaProcessual/consultaTstNumUnica.do?consulta=Consultar&amp;conscsjt=&amp;numeroTst=6909&amp;digitoTst=65&amp;anoTst=2013&amp;orgaoTst=5&amp;tribunalTst=15&amp;varaTst=0000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https://aplicacao5.tst.jus.br/consultaProcessual/consultaTstNumUnica.do?consulta=Consultar&amp;conscsjt=&amp;numeroTst=116800&amp;digitoTst=14&amp;anoTst=2010&amp;orgaoTst=5&amp;tribunalTst=13&amp;varaTst=0022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2015-04-22T13:52:00Z</cp:lastPrinted>
  <dcterms:created xsi:type="dcterms:W3CDTF">2018-06-27T21:49:00Z</dcterms:created>
  <dcterms:modified xsi:type="dcterms:W3CDTF">2018-06-27T21:49:00Z</dcterms:modified>
</cp:coreProperties>
</file>