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A29F5" w:rsidRPr="005D1DE4" w:rsidRDefault="00EA29F5" w:rsidP="00EA29F5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631F1C" w:rsidRPr="00971E07" w:rsidRDefault="00631F1C" w:rsidP="005D4F86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UBSEÇÃO</w:t>
      </w:r>
      <w:r w:rsidR="00627896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I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2C2904" w:rsidRPr="005D1DE4" w:rsidRDefault="002C2904" w:rsidP="002C2904">
      <w:pPr>
        <w:ind w:right="-567"/>
        <w:jc w:val="both"/>
        <w:rPr>
          <w:sz w:val="10"/>
          <w:szCs w:val="10"/>
        </w:rPr>
      </w:pPr>
    </w:p>
    <w:p w:rsidR="00627896" w:rsidRPr="00803139" w:rsidRDefault="00627896" w:rsidP="00627896">
      <w:pPr>
        <w:jc w:val="both"/>
        <w:rPr>
          <w:b/>
          <w:i/>
          <w:sz w:val="24"/>
          <w:szCs w:val="24"/>
        </w:rPr>
      </w:pPr>
      <w:r w:rsidRPr="009D7E47">
        <w:rPr>
          <w:b/>
          <w:i/>
          <w:sz w:val="24"/>
          <w:szCs w:val="24"/>
        </w:rPr>
        <w:t>Execução. Embargos de terceiro.</w:t>
      </w:r>
      <w:r>
        <w:rPr>
          <w:b/>
          <w:i/>
          <w:sz w:val="24"/>
          <w:szCs w:val="24"/>
        </w:rPr>
        <w:t xml:space="preserve"> </w:t>
      </w:r>
      <w:r w:rsidRPr="00803139">
        <w:rPr>
          <w:b/>
          <w:i/>
          <w:sz w:val="24"/>
          <w:szCs w:val="24"/>
        </w:rPr>
        <w:t>Bem imóvel alienado mediante a</w:t>
      </w:r>
      <w:r>
        <w:rPr>
          <w:b/>
          <w:i/>
          <w:sz w:val="24"/>
          <w:szCs w:val="24"/>
        </w:rPr>
        <w:t>lvará judicial e antes do reconhecimento do grupo econômico e inclusão das empresas na lide.</w:t>
      </w:r>
      <w:r w:rsidRPr="0080313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Adquirente de boa-fé</w:t>
      </w:r>
      <w:r w:rsidRPr="00803139">
        <w:rPr>
          <w:sz w:val="24"/>
          <w:szCs w:val="24"/>
        </w:rPr>
        <w:t xml:space="preserve">. </w:t>
      </w:r>
      <w:r w:rsidRPr="00803139">
        <w:rPr>
          <w:b/>
          <w:i/>
          <w:sz w:val="24"/>
          <w:szCs w:val="24"/>
        </w:rPr>
        <w:t>Fraude à execução. Não caracterização</w:t>
      </w:r>
      <w:r>
        <w:rPr>
          <w:b/>
          <w:i/>
          <w:sz w:val="24"/>
          <w:szCs w:val="24"/>
        </w:rPr>
        <w:t>.</w:t>
      </w:r>
    </w:p>
    <w:p w:rsidR="00627896" w:rsidRPr="00627896" w:rsidRDefault="00627896" w:rsidP="00627896">
      <w:pPr>
        <w:jc w:val="both"/>
        <w:rPr>
          <w:sz w:val="24"/>
          <w:szCs w:val="24"/>
          <w:u w:val="single"/>
        </w:rPr>
      </w:pPr>
      <w:r w:rsidRPr="00627896">
        <w:rPr>
          <w:snapToGrid w:val="0"/>
          <w:sz w:val="24"/>
          <w:szCs w:val="24"/>
        </w:rPr>
        <w:t xml:space="preserve">Age de boa-fé o terceiro adquirente de imóvel alienado judicialmente, mediante alvará regularmente expedido em processo de concordata, e em momento anterior ao reconhecimento judicial do grupo econômico e à inclusão de todas as empresas na lide. Assim, ausente o registro da prova da má-fé do adquirente, requisito imprescindível à caracterização da fraude à execução, conforme preconiza a Súmula n.º 375 do STJ, não há falar em declaração de ineficácia do negócio jurídico celebrado entre as partes. Com esse entendimento, a SBDI-I, à unanimidade, conheceu dos embargos interpostos pela Anthares Técnicas Construtivas e Comércio Ltda., por divergência jurisprudencial, e, no mérito, deu-lhes provimento para julgar procedente o pedido deduzido na ação de embargos de terceiro, a fim de desconstituir a penhora realizada sobre o imóvel adquirido pela embargante. </w:t>
      </w:r>
      <w:hyperlink r:id="rId8" w:history="1">
        <w:r w:rsidRPr="0061615D">
          <w:rPr>
            <w:rStyle w:val="Hyperlink"/>
            <w:sz w:val="24"/>
            <w:szCs w:val="24"/>
          </w:rPr>
          <w:t>TST-E-ED-RR-155100-26.2004.5.15.0046</w:t>
        </w:r>
      </w:hyperlink>
      <w:r w:rsidRPr="00627896">
        <w:rPr>
          <w:sz w:val="24"/>
          <w:szCs w:val="24"/>
          <w:u w:val="single"/>
        </w:rPr>
        <w:t>, SBDI-I, rel. Min. Luiz Philippe Vieira de Mello Filho, 5.6.2014</w:t>
      </w:r>
    </w:p>
    <w:p w:rsidR="00627896" w:rsidRPr="00627896" w:rsidRDefault="00627896" w:rsidP="00627896">
      <w:pPr>
        <w:jc w:val="both"/>
        <w:rPr>
          <w:b/>
          <w:i/>
        </w:rPr>
      </w:pPr>
    </w:p>
    <w:p w:rsidR="00627896" w:rsidRPr="00971E07" w:rsidRDefault="00627896" w:rsidP="00627896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627896" w:rsidRPr="00627896" w:rsidRDefault="00627896" w:rsidP="00627896">
      <w:pPr>
        <w:jc w:val="both"/>
        <w:rPr>
          <w:b/>
          <w:i/>
          <w:sz w:val="10"/>
          <w:szCs w:val="10"/>
        </w:rPr>
      </w:pPr>
    </w:p>
    <w:p w:rsidR="00627896" w:rsidRPr="00345342" w:rsidRDefault="00627896" w:rsidP="00627896">
      <w:pPr>
        <w:jc w:val="both"/>
        <w:rPr>
          <w:b/>
          <w:i/>
          <w:sz w:val="24"/>
          <w:szCs w:val="24"/>
        </w:rPr>
      </w:pPr>
      <w:r w:rsidRPr="00345342">
        <w:rPr>
          <w:b/>
          <w:i/>
          <w:sz w:val="24"/>
          <w:szCs w:val="24"/>
        </w:rPr>
        <w:t xml:space="preserve">Mandado de segurança. </w:t>
      </w:r>
      <w:r>
        <w:rPr>
          <w:b/>
          <w:i/>
          <w:sz w:val="24"/>
          <w:szCs w:val="24"/>
        </w:rPr>
        <w:t xml:space="preserve">Execução provisória. </w:t>
      </w:r>
      <w:r w:rsidRPr="00345342">
        <w:rPr>
          <w:b/>
          <w:i/>
          <w:sz w:val="24"/>
          <w:szCs w:val="24"/>
        </w:rPr>
        <w:t xml:space="preserve">Bens indicados à penhora insuficientes à garantia do Juízo. Penhora </w:t>
      </w:r>
      <w:r w:rsidRPr="00345342">
        <w:rPr>
          <w:i/>
          <w:sz w:val="24"/>
          <w:szCs w:val="24"/>
        </w:rPr>
        <w:t>on-line</w:t>
      </w:r>
      <w:r w:rsidRPr="00345342">
        <w:rPr>
          <w:b/>
          <w:i/>
          <w:sz w:val="24"/>
          <w:szCs w:val="24"/>
        </w:rPr>
        <w:t xml:space="preserve"> de depósitos bancários. Cabimento.  </w:t>
      </w:r>
    </w:p>
    <w:p w:rsidR="00627896" w:rsidRPr="00345342" w:rsidRDefault="00627896" w:rsidP="00627896">
      <w:pPr>
        <w:jc w:val="both"/>
        <w:rPr>
          <w:sz w:val="24"/>
          <w:szCs w:val="24"/>
        </w:rPr>
      </w:pPr>
      <w:r>
        <w:rPr>
          <w:sz w:val="24"/>
          <w:szCs w:val="24"/>
        </w:rPr>
        <w:t>Mesmo em sede de execução provisória, a</w:t>
      </w:r>
      <w:r w:rsidRPr="00345342">
        <w:rPr>
          <w:sz w:val="24"/>
          <w:szCs w:val="24"/>
        </w:rPr>
        <w:t xml:space="preserve"> penhora </w:t>
      </w:r>
      <w:r w:rsidRPr="00345342">
        <w:rPr>
          <w:i/>
          <w:sz w:val="24"/>
          <w:szCs w:val="24"/>
        </w:rPr>
        <w:t>on-line</w:t>
      </w:r>
      <w:r w:rsidRPr="00345342">
        <w:rPr>
          <w:sz w:val="24"/>
          <w:szCs w:val="24"/>
        </w:rPr>
        <w:t xml:space="preserve"> de depósitos bancários, quando os bens indicados pelo executado não se mostram suficientes para garantia do Juízo, não fere direito líquido e certo do devedor, pois a nomeação tempestiva de bens suficientes à garantia da execução é pressuposto para a aplicação do item III da Súmula nº 417 do TST. Ademais, no caso concreto não houve prova de que a constrição determinada pelo Juízo trouxe prejuízos ao funcionamento da reclamada, nos termos da Orientação Jurisprudencial nº 93 da SBDI-II. De outra sorte, o art. 620 do CPC deve ser relativizado, em se tratando de execução trabalhista, pois o interesse jurídico preponderante está relacionado à proteção do exequente, titular de crédito de natureza alimentar</w:t>
      </w:r>
      <w:r>
        <w:rPr>
          <w:sz w:val="24"/>
          <w:szCs w:val="24"/>
        </w:rPr>
        <w:t>, e pressupõe a possibilidade de o credor poder promover a execução por vários meios, o que não restou demonstrado na hipótese</w:t>
      </w:r>
      <w:r w:rsidRPr="00345342">
        <w:rPr>
          <w:sz w:val="24"/>
          <w:szCs w:val="24"/>
        </w:rPr>
        <w:t>. Com esses fundamentos, a SBDI-II, por unanimidade, negou provimento a recurso ordinário</w:t>
      </w:r>
      <w:r>
        <w:rPr>
          <w:sz w:val="24"/>
          <w:szCs w:val="24"/>
        </w:rPr>
        <w:t>, mantendo decisão do Regional que denegara a segurança</w:t>
      </w:r>
      <w:r w:rsidRPr="00345342">
        <w:rPr>
          <w:sz w:val="24"/>
          <w:szCs w:val="24"/>
        </w:rPr>
        <w:t xml:space="preserve">. </w:t>
      </w:r>
      <w:hyperlink r:id="rId9" w:history="1">
        <w:r w:rsidRPr="0061615D">
          <w:rPr>
            <w:rStyle w:val="Hyperlink"/>
            <w:sz w:val="24"/>
            <w:szCs w:val="24"/>
          </w:rPr>
          <w:t>TST-RO-6587-76.2011.5.02.0000</w:t>
        </w:r>
      </w:hyperlink>
      <w:r w:rsidRPr="00345342">
        <w:rPr>
          <w:sz w:val="24"/>
          <w:szCs w:val="24"/>
          <w:u w:val="single"/>
        </w:rPr>
        <w:t>, SBDI-II, rel. Min. Cláudio Mascarenhas Brandão, 3.6.2014</w:t>
      </w:r>
    </w:p>
    <w:p w:rsidR="00627896" w:rsidRPr="00627896" w:rsidRDefault="00627896" w:rsidP="00627896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val="pt-BR" w:eastAsia="en-US"/>
        </w:rPr>
      </w:pPr>
    </w:p>
    <w:p w:rsidR="00627896" w:rsidRDefault="00627896" w:rsidP="00627896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Mandado de segurança</w:t>
      </w:r>
      <w:r w:rsidRPr="001F6E49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.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Cabimento. O</w:t>
      </w:r>
      <w:r w:rsidRPr="002A61B0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rdem de bloqueio em conta 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salário via</w:t>
      </w:r>
      <w:r w:rsidR="00CE392D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sistema Bacen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J</w:t>
      </w:r>
      <w:r w:rsidRPr="002A61B0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ud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. E</w:t>
      </w:r>
      <w:r w:rsidRPr="002A61B0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xceção de pré-executividade rejeitada.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 Decadência. Termo inicial.  Orientação Jurisprudencial nº 127 da SBDI-II. </w:t>
      </w:r>
    </w:p>
    <w:p w:rsidR="00627896" w:rsidRDefault="00627896" w:rsidP="00627896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Ausente </w:t>
      </w:r>
      <w:r w:rsidRPr="0057352D">
        <w:rPr>
          <w:rFonts w:ascii="Times New Roman" w:eastAsia="Calibri" w:hAnsi="Times New Roman" w:cs="Times New Roman"/>
          <w:color w:val="auto"/>
          <w:lang w:val="pt-BR" w:eastAsia="en-US"/>
        </w:rPr>
        <w:t>recurso capaz de estancar de imedi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ato os efeitos do ato impugnado, é cabível a impetração de mandado de segurança em face de decisão que rejeita exceção de pré-executividade manejada contra ordem judicial que determinou o bloqueio de valores em conta salário via sistema B</w:t>
      </w:r>
      <w:r w:rsidR="00CE392D">
        <w:rPr>
          <w:rFonts w:ascii="Times New Roman" w:eastAsia="Calibri" w:hAnsi="Times New Roman" w:cs="Times New Roman"/>
          <w:color w:val="auto"/>
          <w:lang w:val="pt-BR" w:eastAsia="en-US"/>
        </w:rPr>
        <w:t>acen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Jud, devendo o prazo decadencial de cento e vinte dias ser contado a partir da decisão que primeiro fixou a tese combatida, nos termos da Orientação Jurisprudencial nº 127 da SBDI-II. Assim, tendo em conta que, no caso concreto, a impetrante teve ciência do bloqueio antes do pronunciamento do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juízo a respeito da exceção de pré-executividade, 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ab/>
        <w:t>que a rejeição desta apenas ratificou a ordem anterior de constrição, tem-se que o prazo decadencial da ação mandamental deve ser contado a partir da determinação judicial de bloqueio e não do julgamento do incidente. Com esses fundamentos, a SBDI-II, por unanimidade, conheceu do recurso ordinário da impetrante e, no mérito, por maioria, negou-lhes provimento, mantendo a decadência declarada na origem. Vencidos os Ministros Hugo Carlos Scheuermann, relator, e Antonio José de Barros Levenhagen, que davam provimento ao recurso para afastar a decadência ao fundamento de que apenas após o pronunciamento do juízo a respeito da exceção de pré-executividade firmou-se a tese ora hostilizada.</w:t>
      </w:r>
      <w:r w:rsidRPr="00CA1093">
        <w:rPr>
          <w:rFonts w:ascii="Times New Roman" w:hAnsi="Times New Roman"/>
          <w:lang w:val="pt-BR"/>
        </w:rPr>
        <w:t xml:space="preserve"> </w:t>
      </w:r>
      <w:hyperlink r:id="rId10" w:history="1">
        <w:r w:rsidRPr="0061615D">
          <w:rPr>
            <w:rStyle w:val="Hyperlink"/>
            <w:rFonts w:ascii="Times New Roman" w:hAnsi="Times New Roman" w:cs="Courier New"/>
            <w:lang w:val="pt-BR"/>
          </w:rPr>
          <w:t>TST-RO-3352-79.2011.5.10.0000</w:t>
        </w:r>
      </w:hyperlink>
      <w:r w:rsidRPr="009C5D63">
        <w:rPr>
          <w:rFonts w:ascii="Times New Roman" w:hAnsi="Times New Roman"/>
          <w:u w:val="single"/>
          <w:lang w:val="pt-BR"/>
        </w:rPr>
        <w:t>, SBDI-I</w:t>
      </w:r>
      <w:r>
        <w:rPr>
          <w:rFonts w:ascii="Times New Roman" w:hAnsi="Times New Roman"/>
          <w:u w:val="single"/>
          <w:lang w:val="pt-BR"/>
        </w:rPr>
        <w:t>I</w:t>
      </w:r>
      <w:r w:rsidRPr="009C5D63">
        <w:rPr>
          <w:rFonts w:ascii="Times New Roman" w:hAnsi="Times New Roman"/>
          <w:u w:val="single"/>
          <w:lang w:val="pt-BR"/>
        </w:rPr>
        <w:t xml:space="preserve">, rel. Min. </w:t>
      </w:r>
      <w:r w:rsidRPr="006E7229">
        <w:rPr>
          <w:rFonts w:ascii="Times New Roman" w:hAnsi="Times New Roman"/>
          <w:u w:val="single"/>
          <w:lang w:val="pt-BR"/>
        </w:rPr>
        <w:t>Hugo Carlos Scheuermann</w:t>
      </w:r>
      <w:r>
        <w:rPr>
          <w:rFonts w:ascii="Times New Roman" w:hAnsi="Times New Roman"/>
          <w:u w:val="single"/>
          <w:lang w:val="pt-BR"/>
        </w:rPr>
        <w:t xml:space="preserve">, red. p/ acórdão Min. </w:t>
      </w:r>
      <w:r w:rsidRPr="00003E97">
        <w:rPr>
          <w:rFonts w:ascii="Times New Roman" w:hAnsi="Times New Roman"/>
          <w:u w:val="single"/>
          <w:lang w:val="pt-BR"/>
        </w:rPr>
        <w:t>Cláudio Mascarenhas Brandão</w:t>
      </w:r>
      <w:r>
        <w:rPr>
          <w:rFonts w:ascii="Times New Roman" w:hAnsi="Times New Roman"/>
          <w:u w:val="single"/>
          <w:lang w:val="pt-BR"/>
        </w:rPr>
        <w:t>, 10.6.2014</w:t>
      </w:r>
    </w:p>
    <w:p w:rsidR="00627896" w:rsidRPr="00627896" w:rsidRDefault="00627896" w:rsidP="00582667">
      <w:pPr>
        <w:jc w:val="both"/>
        <w:rPr>
          <w:b/>
          <w:i/>
        </w:rPr>
      </w:pPr>
    </w:p>
    <w:p w:rsidR="00627896" w:rsidRDefault="00627896" w:rsidP="0062789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Ação rescisória. </w:t>
      </w:r>
      <w:r w:rsidRPr="00054080">
        <w:rPr>
          <w:b/>
          <w:i/>
          <w:sz w:val="24"/>
          <w:szCs w:val="24"/>
        </w:rPr>
        <w:t xml:space="preserve">Execução fiscal. Coproprietário de imóvel </w:t>
      </w:r>
      <w:r>
        <w:rPr>
          <w:b/>
          <w:i/>
          <w:sz w:val="24"/>
          <w:szCs w:val="24"/>
        </w:rPr>
        <w:t>arrematado</w:t>
      </w:r>
      <w:r w:rsidRPr="00054080">
        <w:rPr>
          <w:b/>
          <w:i/>
          <w:sz w:val="24"/>
          <w:szCs w:val="24"/>
        </w:rPr>
        <w:t xml:space="preserve"> que não </w:t>
      </w:r>
      <w:r>
        <w:rPr>
          <w:b/>
          <w:i/>
          <w:sz w:val="24"/>
          <w:szCs w:val="24"/>
        </w:rPr>
        <w:t>figura como parte</w:t>
      </w:r>
      <w:r w:rsidRPr="00054080">
        <w:rPr>
          <w:b/>
          <w:i/>
          <w:sz w:val="24"/>
          <w:szCs w:val="24"/>
        </w:rPr>
        <w:t xml:space="preserve"> no processo</w:t>
      </w:r>
      <w:r>
        <w:rPr>
          <w:b/>
          <w:i/>
          <w:sz w:val="24"/>
          <w:szCs w:val="24"/>
        </w:rPr>
        <w:t xml:space="preserve"> executório</w:t>
      </w:r>
      <w:r w:rsidRPr="00054080">
        <w:rPr>
          <w:b/>
          <w:i/>
          <w:sz w:val="24"/>
          <w:szCs w:val="24"/>
        </w:rPr>
        <w:t>. Ausência de intimação</w:t>
      </w:r>
      <w:r>
        <w:rPr>
          <w:b/>
          <w:i/>
          <w:sz w:val="24"/>
          <w:szCs w:val="24"/>
        </w:rPr>
        <w:t xml:space="preserve">. Aplicação dos art. 880 e 888 da CLT. Negativa de vigência da Lei nº 6.830/80.  </w:t>
      </w:r>
      <w:r w:rsidRPr="00054080">
        <w:rPr>
          <w:b/>
          <w:i/>
          <w:sz w:val="24"/>
          <w:szCs w:val="24"/>
        </w:rPr>
        <w:t xml:space="preserve">Violação </w:t>
      </w:r>
      <w:r>
        <w:rPr>
          <w:b/>
          <w:i/>
          <w:sz w:val="24"/>
          <w:szCs w:val="24"/>
        </w:rPr>
        <w:t>d</w:t>
      </w:r>
      <w:r w:rsidRPr="00054080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art. 5º, LV, da CF. Configuração. </w:t>
      </w:r>
    </w:p>
    <w:p w:rsidR="00627896" w:rsidRPr="00337A04" w:rsidRDefault="00627896" w:rsidP="00627896">
      <w:pPr>
        <w:jc w:val="both"/>
        <w:rPr>
          <w:sz w:val="24"/>
          <w:szCs w:val="24"/>
        </w:rPr>
      </w:pPr>
      <w:r w:rsidRPr="00337A04">
        <w:rPr>
          <w:sz w:val="24"/>
          <w:szCs w:val="24"/>
        </w:rPr>
        <w:t>Viola o direito de propriedade, o devido processo legal e o contraditório, a decisão, proferida em sede de ação anulatória incidental à execução fiscal, que, negando vigência à Lei nº 6.830/80, considera válida a arrematação de imóvel penhorado sem a devida intimação de coproprietário que não figura como parte no processo executório. No caso concreto, a autora da ação anulatória era coproprietária do bem arrematado para o pagamento de dívida assumida pelo outro proprietário, réu no processo de execução fiscal. Todavia, as diversas tentativas de intimação de penhora se restringiram ao devedor e a única ciência do ato expropriatório dirigida à recorrente foi o edital de praça, publicado no Diário Oficial, tid</w:t>
      </w:r>
      <w:r>
        <w:rPr>
          <w:sz w:val="24"/>
          <w:szCs w:val="24"/>
        </w:rPr>
        <w:t>o</w:t>
      </w:r>
      <w:r w:rsidRPr="00337A04">
        <w:rPr>
          <w:sz w:val="24"/>
          <w:szCs w:val="24"/>
        </w:rPr>
        <w:t xml:space="preserve"> como suficiente pela decisão rescindenda, pois em conformidade com os arts. 880 e 888 da CLT, equivocadamente aplicados à hipótese. Nesse contexto, a SBDI-II, à unanimidade, deu provimento ao recurso ordinário para, em juízo rescindendo e com apoio no art. 485, V, do CPC, reconhecer a ocorrência de violação literal ao art. 5º, LV, da CF, diante da negativa de aplicação, ao caso, da Lei nº 6.830/80 e, em juízo rescisório, julgar procedente a ação anulatória incidental e, em consequência, anular a arrematação, diante da ausência de intimação prévia da coproprietária. </w:t>
      </w:r>
      <w:hyperlink r:id="rId11" w:history="1">
        <w:r w:rsidRPr="0061615D">
          <w:rPr>
            <w:rStyle w:val="Hyperlink"/>
            <w:sz w:val="24"/>
            <w:szCs w:val="24"/>
          </w:rPr>
          <w:t>TST-RO-5800-07.2012.5.13.0000</w:t>
        </w:r>
      </w:hyperlink>
      <w:r w:rsidRPr="00337A04">
        <w:rPr>
          <w:sz w:val="24"/>
          <w:szCs w:val="24"/>
          <w:u w:val="single"/>
        </w:rPr>
        <w:t>, SBDI-II, rel. Min. Cláudio Mascarenhas Brandão, 10.6.2014</w:t>
      </w:r>
    </w:p>
    <w:p w:rsidR="00582667" w:rsidRDefault="00582667">
      <w:pPr>
        <w:jc w:val="both"/>
        <w:rPr>
          <w:sz w:val="22"/>
          <w:szCs w:val="22"/>
          <w:u w:val="single"/>
        </w:rPr>
      </w:pPr>
    </w:p>
    <w:p w:rsidR="00CE392D" w:rsidRDefault="00CE392D">
      <w:pPr>
        <w:jc w:val="both"/>
        <w:rPr>
          <w:sz w:val="22"/>
          <w:szCs w:val="22"/>
          <w:u w:val="single"/>
        </w:rPr>
      </w:pPr>
    </w:p>
    <w:p w:rsidR="00CE392D" w:rsidRDefault="00CE392D">
      <w:pPr>
        <w:jc w:val="both"/>
        <w:rPr>
          <w:sz w:val="22"/>
          <w:szCs w:val="22"/>
          <w:u w:val="single"/>
        </w:rPr>
      </w:pPr>
    </w:p>
    <w:p w:rsidR="00CE392D" w:rsidRDefault="00CE392D">
      <w:pPr>
        <w:jc w:val="both"/>
        <w:rPr>
          <w:sz w:val="22"/>
          <w:szCs w:val="22"/>
          <w:u w:val="single"/>
        </w:rPr>
      </w:pPr>
    </w:p>
    <w:p w:rsidR="00CE392D" w:rsidRDefault="00CE392D">
      <w:pPr>
        <w:jc w:val="both"/>
        <w:rPr>
          <w:sz w:val="22"/>
          <w:szCs w:val="22"/>
          <w:u w:val="single"/>
        </w:rPr>
      </w:pPr>
    </w:p>
    <w:p w:rsidR="00CE392D" w:rsidRPr="005D1DE4" w:rsidRDefault="00CE392D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Comissão Nacional de Efetividade de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DB" w:rsidRDefault="009A6ADB">
      <w:r>
        <w:separator/>
      </w:r>
    </w:p>
  </w:endnote>
  <w:endnote w:type="continuationSeparator" w:id="0">
    <w:p w:rsidR="009A6ADB" w:rsidRDefault="009A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43E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E543E3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DB" w:rsidRDefault="009A6ADB">
      <w:r>
        <w:separator/>
      </w:r>
    </w:p>
  </w:footnote>
  <w:footnote w:type="continuationSeparator" w:id="0">
    <w:p w:rsidR="009A6ADB" w:rsidRDefault="009A6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627896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627896">
      <w:rPr>
        <w:shadow/>
        <w:sz w:val="24"/>
        <w:szCs w:val="24"/>
      </w:rPr>
      <w:t>2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627896">
      <w:rPr>
        <w:sz w:val="20"/>
        <w:szCs w:val="20"/>
      </w:rPr>
      <w:t>26 de maio a 30 de junho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</w:t>
    </w:r>
    <w:r w:rsidR="00627896">
      <w:rPr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582667">
    <w:pPr>
      <w:pStyle w:val="Cabealho"/>
      <w:tabs>
        <w:tab w:val="clear" w:pos="8838"/>
        <w:tab w:val="right" w:pos="9639"/>
      </w:tabs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627896">
      <w:rPr>
        <w:b/>
        <w:sz w:val="40"/>
        <w:szCs w:val="40"/>
      </w:rPr>
      <w:t>2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582667">
      <w:rPr>
        <w:i/>
        <w:iCs/>
      </w:rPr>
      <w:t>2</w:t>
    </w:r>
    <w:r w:rsidR="00627896">
      <w:rPr>
        <w:i/>
        <w:iCs/>
      </w:rPr>
      <w:t xml:space="preserve">6 de maio a 30 de junho de </w:t>
    </w:r>
    <w:r w:rsidR="00FE00AD" w:rsidRPr="005D1DE4">
      <w:rPr>
        <w:i/>
        <w:iCs/>
      </w:rPr>
      <w:t>201</w:t>
    </w:r>
    <w:r w:rsidR="00582667">
      <w:rPr>
        <w:i/>
        <w:iCs/>
      </w:rPr>
      <w:t>4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85E05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0360D"/>
    <w:rsid w:val="0011575C"/>
    <w:rsid w:val="0011692E"/>
    <w:rsid w:val="00137564"/>
    <w:rsid w:val="00137DC1"/>
    <w:rsid w:val="0015612D"/>
    <w:rsid w:val="001655D0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16BA3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175B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748C8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2667"/>
    <w:rsid w:val="00584F82"/>
    <w:rsid w:val="00591DFA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145AC"/>
    <w:rsid w:val="00615F98"/>
    <w:rsid w:val="0061615D"/>
    <w:rsid w:val="00621F9C"/>
    <w:rsid w:val="00627896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51607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A6ADB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B46CE"/>
    <w:rsid w:val="00BC1DE7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CE392D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1D07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543E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511EE"/>
    <w:rsid w:val="00F558E7"/>
    <w:rsid w:val="00F62016"/>
    <w:rsid w:val="00F63F44"/>
    <w:rsid w:val="00F6746D"/>
    <w:rsid w:val="00F7499A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155100&amp;digitoTst=26&amp;anoTst=2004&amp;orgaoTst=5&amp;tribunalTst=15&amp;varaTst=004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ao5.tst.jus.br/consultaProcessual/consultaTstNumUnica.do?consulta=Consultar&amp;conscsjt=&amp;numeroTst=5800&amp;digitoTst=07&amp;anoTst=2012&amp;orgaoTst=5&amp;tribunalTst=13&amp;varaTst=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licacao5.tst.jus.br/consultaProcessual/consultaTstNumUnica.do?consulta=Consultar&amp;conscsjt=&amp;numeroTst=3352&amp;digitoTst=79&amp;anoTst=2011&amp;orgaoTst=5&amp;tribunalTst=10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6587&amp;digitoTst=76&amp;anoTst=2011&amp;orgaoTst=5&amp;tribunalTst=02&amp;varaTst=000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EDEC-3E72-44CB-8E64-53189656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7208</CharactersWithSpaces>
  <SharedDoc>false</SharedDoc>
  <HLinks>
    <vt:vector size="24" baseType="variant">
      <vt:variant>
        <vt:i4>6815856</vt:i4>
      </vt:variant>
      <vt:variant>
        <vt:i4>9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https://aplicacao5.tst.jus.br/consultaProcessual/consultaTstNumUnica.do?consulta=Consultar&amp;conscsjt=&amp;numeroTst=5800&amp;digitoTst=07&amp;anoTst=2012&amp;orgaoTst=5&amp;tribunalTst=13&amp;varaTst=0000</vt:lpwstr>
      </vt:variant>
      <vt:variant>
        <vt:lpwstr/>
      </vt:variant>
      <vt:variant>
        <vt:i4>6619262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https://aplicacao5.tst.jus.br/consultaProcessual/consultaTstNumUnica.do?consulta=Consultar&amp;conscsjt=&amp;numeroTst=3352&amp;digitoTst=79&amp;anoTst=2011&amp;orgaoTst=5&amp;tribunalTst=10&amp;varaTst=0000</vt:lpwstr>
      </vt:variant>
      <vt:variant>
        <vt:lpwstr/>
      </vt:variant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https://aplicacao5.tst.jus.br/consultaProcessual/consultaTstNumUnica.do?consulta=Consultar&amp;conscsjt=&amp;numeroTst=6587&amp;digitoTst=76&amp;anoTst=2011&amp;orgaoTst=5&amp;tribunalTst=02&amp;varaTst=0000</vt:lpwstr>
      </vt:variant>
      <vt:variant>
        <vt:lpwstr/>
      </vt:variant>
      <vt:variant>
        <vt:i4>6029391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https://aplicacao5.tst.jus.br/consultaProcessual/consultaTstNumUnica.do?consulta=Consultar&amp;conscsjt=&amp;numeroTst=155100&amp;digitoTst=26&amp;anoTst=2004&amp;orgaoTst=5&amp;tribunalTst=15&amp;varaTst=0046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2014-06-25T20:43:00Z</cp:lastPrinted>
  <dcterms:created xsi:type="dcterms:W3CDTF">2018-06-27T21:47:00Z</dcterms:created>
  <dcterms:modified xsi:type="dcterms:W3CDTF">2018-06-27T21:47:00Z</dcterms:modified>
</cp:coreProperties>
</file>