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573DA1" w:rsidRPr="004D4ECF" w:rsidRDefault="00573DA1" w:rsidP="00573DA1">
      <w:pPr>
        <w:jc w:val="both"/>
        <w:rPr>
          <w:b/>
          <w:i/>
          <w:sz w:val="24"/>
          <w:szCs w:val="24"/>
        </w:rPr>
      </w:pPr>
      <w:r w:rsidRPr="004D4ECF">
        <w:rPr>
          <w:b/>
          <w:i/>
          <w:sz w:val="24"/>
          <w:szCs w:val="24"/>
        </w:rPr>
        <w:t xml:space="preserve">Honorários advocatícios. Condenação em sede de recurso ordinário. “Reformatio in pejus”. Configuração.  </w:t>
      </w:r>
    </w:p>
    <w:p w:rsidR="00573DA1" w:rsidRPr="004D4ECF" w:rsidRDefault="00573DA1" w:rsidP="00573DA1">
      <w:pPr>
        <w:jc w:val="both"/>
        <w:rPr>
          <w:sz w:val="24"/>
          <w:szCs w:val="24"/>
        </w:rPr>
      </w:pPr>
      <w:r w:rsidRPr="004D4ECF">
        <w:rPr>
          <w:sz w:val="24"/>
          <w:szCs w:val="24"/>
        </w:rPr>
        <w:t xml:space="preserve">Configura “reformatio in pejus” a condenação da autora ao pagamento de honorários advocatícios, em sede de recurso ordinário, na hipótese em que, na instância de origem, não obstante a ação rescisória tenha sido julgada improcedente, não houve a referida condenação. Com esse entendimento, a SBDI-II, por maioria, deixou de condenar a autora ao pagamento de honorários advocatícios, vencidos os Ministros Antônio José de Barros Levenhagen e Carlos Alberto Reis de Paula, os quais entendiam possível a condenação em sede de recurso ordinário, independente de pedido ou de </w:t>
      </w:r>
      <w:r>
        <w:rPr>
          <w:sz w:val="24"/>
          <w:szCs w:val="24"/>
        </w:rPr>
        <w:t xml:space="preserve">prévia </w:t>
      </w:r>
      <w:r w:rsidRPr="004D4ECF">
        <w:rPr>
          <w:sz w:val="24"/>
          <w:szCs w:val="24"/>
        </w:rPr>
        <w:t xml:space="preserve">condenação na instância inferior, </w:t>
      </w:r>
      <w:r>
        <w:rPr>
          <w:sz w:val="24"/>
          <w:szCs w:val="24"/>
        </w:rPr>
        <w:t xml:space="preserve">uma </w:t>
      </w:r>
      <w:r w:rsidRPr="004D4ECF">
        <w:rPr>
          <w:sz w:val="24"/>
          <w:szCs w:val="24"/>
        </w:rPr>
        <w:t xml:space="preserve">vez que os honorários sucumbenciais </w:t>
      </w:r>
      <w:r>
        <w:rPr>
          <w:sz w:val="24"/>
          <w:szCs w:val="24"/>
        </w:rPr>
        <w:t>constituem</w:t>
      </w:r>
      <w:r w:rsidRPr="004D4ECF">
        <w:rPr>
          <w:sz w:val="24"/>
          <w:szCs w:val="24"/>
        </w:rPr>
        <w:t xml:space="preserve"> despesas processuais, que decorrem de preceito de lei</w:t>
      </w:r>
      <w:r>
        <w:rPr>
          <w:sz w:val="24"/>
          <w:szCs w:val="24"/>
        </w:rPr>
        <w:t>,</w:t>
      </w:r>
      <w:r w:rsidRPr="004D4ECF">
        <w:rPr>
          <w:sz w:val="24"/>
          <w:szCs w:val="24"/>
        </w:rPr>
        <w:t xml:space="preserve"> de imposição obrigatória.</w:t>
      </w:r>
      <w:r>
        <w:rPr>
          <w:sz w:val="24"/>
          <w:szCs w:val="24"/>
        </w:rPr>
        <w:t xml:space="preserve"> </w:t>
      </w:r>
      <w:hyperlink r:id="rId8" w:history="1">
        <w:r w:rsidRPr="00573DA1">
          <w:rPr>
            <w:rStyle w:val="Hyperlink"/>
            <w:sz w:val="24"/>
            <w:szCs w:val="24"/>
          </w:rPr>
          <w:t>TST-RO-325000-62.2009.5.01.0000</w:t>
        </w:r>
      </w:hyperlink>
      <w:r w:rsidRPr="004D4ECF">
        <w:rPr>
          <w:sz w:val="24"/>
          <w:szCs w:val="24"/>
          <w:u w:val="single"/>
        </w:rPr>
        <w:t xml:space="preserve">, SBDI-II, rel. Min. Pedro Paulo </w:t>
      </w:r>
      <w:r>
        <w:rPr>
          <w:sz w:val="24"/>
          <w:szCs w:val="24"/>
          <w:u w:val="single"/>
        </w:rPr>
        <w:t xml:space="preserve">Teixeira </w:t>
      </w:r>
      <w:r w:rsidRPr="004D4ECF">
        <w:rPr>
          <w:sz w:val="24"/>
          <w:szCs w:val="24"/>
          <w:u w:val="single"/>
        </w:rPr>
        <w:t>Manus</w:t>
      </w:r>
      <w:r>
        <w:rPr>
          <w:sz w:val="24"/>
          <w:szCs w:val="24"/>
          <w:u w:val="single"/>
        </w:rPr>
        <w:t>,</w:t>
      </w:r>
      <w:r w:rsidRPr="004D4ECF">
        <w:rPr>
          <w:sz w:val="24"/>
          <w:szCs w:val="24"/>
          <w:u w:val="single"/>
        </w:rPr>
        <w:t xml:space="preserve"> 30.10.2012</w:t>
      </w: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573DA1" w:rsidRDefault="00573DA1" w:rsidP="00573DA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Nulidade de cláusulas de norma coletiva reconhecida pelo Juízo de primeiro grau. Incompetência. Não configuração. Pedido mediato. </w:t>
      </w:r>
    </w:p>
    <w:p w:rsidR="00573DA1" w:rsidRDefault="00573DA1" w:rsidP="00573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SBDI-II, por unanimidade, conheceu do recurso ordinário, e, no mérito, por maioria, negou-lhe provimento, mantendo a decisão do TRT, que denegou a segurança por entender incabível, em sede de mandado de segurança, a arguição de incompetência da autoridade coatora (Juiz da 5ª Vara do Trabalho de Niterói-RJ), que, nos autos da reclamação trabalhista, antecipou os efeitos da tutela para, reconhecendo a nulidade de cláusulas de norma coletiva, determinar o retorno dos trabalhadores à antiga jornada e o pagamento das horas extraordinárias, com os devidos reflexos. Prevaleceu o entendimento de que, no caso, a anulação das cláusulas do acordo coletivo é pedido mediato, incidental, não havendo falar, portanto, em competência do Tribunal Regional, pois o pleito imediato é o pagamento de horas extraordinárias e o retorno à jornada anterior, os quais estão afetos à cognição do juízo de primeiro grau. A competência seria do TRT apenas se a discussão em torno da legalidade, ou não, das cláusulas impugnadas fosse genérica, de efeitos abstratos, sem a concretude da pretensão de horas extraordinárias formulada em ação individual. Vencido o Ministro Guilherme Augusto Caputo Bastos, relator. </w:t>
      </w:r>
      <w:hyperlink r:id="rId9" w:history="1">
        <w:r w:rsidRPr="00573DA1">
          <w:rPr>
            <w:rStyle w:val="Hyperlink"/>
            <w:sz w:val="24"/>
            <w:szCs w:val="24"/>
          </w:rPr>
          <w:t>TST-RO-566700-68.2008.5.01.0000</w:t>
        </w:r>
      </w:hyperlink>
      <w:r w:rsidRPr="003D032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II</w:t>
      </w:r>
      <w:r w:rsidRPr="003D032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 xml:space="preserve">Guilherme </w:t>
      </w:r>
      <w:r w:rsidRPr="003D032E">
        <w:rPr>
          <w:sz w:val="24"/>
          <w:szCs w:val="24"/>
          <w:u w:val="single"/>
        </w:rPr>
        <w:t xml:space="preserve">Augusto </w:t>
      </w:r>
      <w:r>
        <w:rPr>
          <w:sz w:val="24"/>
          <w:szCs w:val="24"/>
          <w:u w:val="single"/>
        </w:rPr>
        <w:t>Caputo Bastos, red. p/ acórdão Min. Luiz Philippe Vieira de Mello Filho, 30.10.2012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80" w:rsidRDefault="00030280">
      <w:r>
        <w:separator/>
      </w:r>
    </w:p>
  </w:endnote>
  <w:endnote w:type="continuationSeparator" w:id="0">
    <w:p w:rsidR="00030280" w:rsidRDefault="0003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3D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ED522F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80" w:rsidRDefault="00030280">
      <w:r>
        <w:separator/>
      </w:r>
    </w:p>
  </w:footnote>
  <w:footnote w:type="continuationSeparator" w:id="0">
    <w:p w:rsidR="00030280" w:rsidRDefault="0003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1º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E16E01" w:rsidRPr="00971E07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573DA1">
      <w:rPr>
        <w:b/>
        <w:sz w:val="40"/>
        <w:szCs w:val="40"/>
      </w:rPr>
      <w:t>28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573DA1">
      <w:rPr>
        <w:i/>
        <w:iCs/>
      </w:rPr>
      <w:t>30 de outubro</w:t>
    </w:r>
    <w:r w:rsidR="00FE00AD" w:rsidRPr="005D1DE4">
      <w:rPr>
        <w:i/>
        <w:iCs/>
      </w:rPr>
      <w:t xml:space="preserve"> a </w:t>
    </w:r>
    <w:r w:rsidR="00573DA1">
      <w:rPr>
        <w:i/>
        <w:iCs/>
      </w:rPr>
      <w:t xml:space="preserve">5 de novembro </w:t>
    </w:r>
    <w:r w:rsidR="00FE00AD" w:rsidRPr="005D1DE4">
      <w:rPr>
        <w:i/>
        <w:iCs/>
      </w:rPr>
      <w:t>de 2012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0280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DA1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A078F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478AE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0F25"/>
    <w:rsid w:val="009E20EF"/>
    <w:rsid w:val="009E26EE"/>
    <w:rsid w:val="009F21A2"/>
    <w:rsid w:val="009F44EC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522F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325000&amp;digitoTst=62&amp;anoTst=2009&amp;orgaoTst=5&amp;tribunalTst=01&amp;varaTst=0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566700&amp;digitoTst=68&amp;anoTst=2008&amp;orgaoTst=5&amp;tribunalTst=01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C6C3-C47B-4844-872E-34219D14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3358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https://aplicacao5.tst.jus.br/consultaProcessual/consultaTstNumUnica.do?consulta=Consultar&amp;conscsjt=&amp;numeroTst=566700&amp;digitoTst=68&amp;anoTst=2008&amp;orgaoTst=5&amp;tribunalTst=01&amp;varaTst=0000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https://aplicacao5.tst.jus.br/consultaProcessual/consultaTstNumUnica.do?consulta=Consultar&amp;conscsjt=&amp;numeroTst=325000&amp;digitoTst=62&amp;anoTst=2009&amp;orgaoTst=5&amp;tribunalTst=01&amp;varaTst=0000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2018-06-27T22:30:00Z</dcterms:created>
  <dcterms:modified xsi:type="dcterms:W3CDTF">2018-06-27T22:30:00Z</dcterms:modified>
</cp:coreProperties>
</file>