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0228E6"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000228E6" w:rsidRPr="00971E07">
        <w:rPr>
          <w:rFonts w:ascii="Times New Roman" w:hAnsi="Times New Roman" w:cs="Times New Roman"/>
          <w:b/>
          <w:bCs/>
          <w:shadow/>
          <w:color w:val="auto"/>
          <w:sz w:val="26"/>
          <w:szCs w:val="26"/>
          <w:lang w:val="pt-BR"/>
        </w:rPr>
        <w:t>ÓRGÃO ESPECIAL</w:t>
      </w:r>
      <w:r>
        <w:rPr>
          <w:rFonts w:ascii="Times New Roman" w:hAnsi="Times New Roman" w:cs="Times New Roman"/>
          <w:b/>
          <w:bCs/>
          <w:shadow/>
          <w:color w:val="auto"/>
          <w:sz w:val="26"/>
          <w:szCs w:val="26"/>
          <w:lang w:val="pt-BR"/>
        </w:rPr>
        <w:tab/>
      </w:r>
    </w:p>
    <w:p w:rsidR="000228E6" w:rsidRPr="005D1DE4" w:rsidRDefault="000228E6" w:rsidP="00EA29F5">
      <w:pPr>
        <w:pStyle w:val="Corpodetexto2"/>
        <w:jc w:val="center"/>
        <w:rPr>
          <w:b/>
          <w:bCs/>
          <w:emboss/>
          <w:sz w:val="10"/>
          <w:szCs w:val="10"/>
        </w:rPr>
      </w:pPr>
    </w:p>
    <w:p w:rsidR="006A1457" w:rsidRPr="006A1457" w:rsidRDefault="006A1457" w:rsidP="006A1457">
      <w:pPr>
        <w:jc w:val="both"/>
        <w:rPr>
          <w:b/>
          <w:i/>
          <w:sz w:val="24"/>
          <w:szCs w:val="24"/>
        </w:rPr>
      </w:pPr>
      <w:r w:rsidRPr="006A1457">
        <w:rPr>
          <w:b/>
          <w:i/>
          <w:sz w:val="24"/>
          <w:szCs w:val="24"/>
        </w:rPr>
        <w:t xml:space="preserve">Precatório. Pagamento com atraso. Juros de mora. Incidência desde a expedição. Súmula Vinculante 17 do STF. </w:t>
      </w:r>
    </w:p>
    <w:p w:rsidR="006A1457" w:rsidRPr="006A1457" w:rsidRDefault="006A1457" w:rsidP="006A1457">
      <w:pPr>
        <w:jc w:val="both"/>
        <w:rPr>
          <w:sz w:val="24"/>
          <w:szCs w:val="24"/>
          <w:u w:val="single"/>
        </w:rPr>
      </w:pPr>
      <w:r w:rsidRPr="006A1457">
        <w:rPr>
          <w:sz w:val="24"/>
          <w:szCs w:val="24"/>
        </w:rPr>
        <w:t xml:space="preserve">Os juros de mora não são devidos durante o chamado "período de graça", desde que o precatório seja pago no prazo constitucional. Efetuado o pagamento fora do prazo previsto no art. 100, § 1º, da CF, os juros moratórios devem ser computados desde a expedição do precatório, conforme inteligência da Súmula Vinculante 17 do STF. Com esse entendimento, o Órgão Especial, por maioria, conheceu do recurso ordinário e, no mérito, negou-lhe provimento. Vencidos os Ministros Luiz Philippe Vieira de Mello Filho, Guilherme Augusto Caputo Bastos e Dora Maria da Costa. </w:t>
      </w:r>
      <w:r w:rsidR="00487FC4">
        <w:rPr>
          <w:sz w:val="24"/>
          <w:szCs w:val="24"/>
          <w:u w:val="single"/>
        </w:rPr>
        <w:fldChar w:fldCharType="begin"/>
      </w:r>
      <w:r w:rsidR="00487FC4">
        <w:rPr>
          <w:sz w:val="24"/>
          <w:szCs w:val="24"/>
          <w:u w:val="single"/>
        </w:rPr>
        <w:instrText xml:space="preserve"> HYPERLINK "https://aplicacao5.tst.jus.br/consultaProcessual/consultaTstNumUnica.do?consulta=Consultar&amp;conscsjt=&amp;numeroTst=2519&amp;digitoTst=45&amp;anoTst=2011&amp;orgaoTst=5&amp;tribunalTst=07&amp;varaTst=0000" </w:instrText>
      </w:r>
      <w:r w:rsidR="00487FC4">
        <w:rPr>
          <w:sz w:val="24"/>
          <w:szCs w:val="24"/>
          <w:u w:val="single"/>
        </w:rPr>
      </w:r>
      <w:r w:rsidR="00487FC4">
        <w:rPr>
          <w:sz w:val="24"/>
          <w:szCs w:val="24"/>
          <w:u w:val="single"/>
        </w:rPr>
        <w:fldChar w:fldCharType="separate"/>
      </w:r>
      <w:r w:rsidRPr="00487FC4">
        <w:rPr>
          <w:rStyle w:val="Hyperlink"/>
          <w:sz w:val="24"/>
          <w:szCs w:val="24"/>
        </w:rPr>
        <w:t>TST-RO-2519-45.2011.5.</w:t>
      </w:r>
      <w:r w:rsidRPr="00487FC4">
        <w:rPr>
          <w:rStyle w:val="Hyperlink"/>
          <w:sz w:val="24"/>
          <w:szCs w:val="24"/>
        </w:rPr>
        <w:t>07.0000</w:t>
      </w:r>
      <w:r w:rsidR="00487FC4">
        <w:rPr>
          <w:sz w:val="24"/>
          <w:szCs w:val="24"/>
          <w:u w:val="single"/>
        </w:rPr>
        <w:fldChar w:fldCharType="end"/>
      </w:r>
      <w:r w:rsidRPr="006A1457">
        <w:rPr>
          <w:sz w:val="24"/>
          <w:szCs w:val="24"/>
          <w:u w:val="single"/>
        </w:rPr>
        <w:t>, Órgão Especial, rel. Min. Fernando Eizo Ono, 3.9.2012</w:t>
      </w:r>
    </w:p>
    <w:p w:rsidR="006A1457" w:rsidRPr="00A64C14" w:rsidRDefault="006A1457" w:rsidP="006A1457">
      <w:pPr>
        <w:jc w:val="both"/>
        <w:rPr>
          <w:sz w:val="10"/>
          <w:szCs w:val="10"/>
          <w:u w:val="single"/>
        </w:rPr>
      </w:pPr>
    </w:p>
    <w:p w:rsidR="006A1457" w:rsidRPr="006A1457" w:rsidRDefault="006A1457" w:rsidP="006A1457">
      <w:pPr>
        <w:jc w:val="both"/>
        <w:rPr>
          <w:b/>
          <w:i/>
          <w:sz w:val="24"/>
          <w:szCs w:val="24"/>
        </w:rPr>
      </w:pPr>
      <w:r w:rsidRPr="006A1457">
        <w:rPr>
          <w:b/>
          <w:i/>
          <w:sz w:val="24"/>
          <w:szCs w:val="24"/>
        </w:rPr>
        <w:t>MS. Acórdão do TRT proferido em sede de incidente de uniformização de jurisprudência. Não cabimento. Ausência de interesse concreto a ser apreciado.</w:t>
      </w:r>
    </w:p>
    <w:p w:rsidR="006A1457" w:rsidRPr="006A1457" w:rsidRDefault="006A1457" w:rsidP="006A1457">
      <w:pPr>
        <w:jc w:val="both"/>
        <w:rPr>
          <w:sz w:val="24"/>
          <w:szCs w:val="24"/>
          <w:u w:val="single"/>
        </w:rPr>
      </w:pPr>
      <w:r w:rsidRPr="006A1457">
        <w:rPr>
          <w:sz w:val="24"/>
          <w:szCs w:val="24"/>
        </w:rPr>
        <w:t xml:space="preserve">Não cabe mandado de segurança contra acórdão do Tribunal Regional proferido em sede de incidente de uniformização de jurisprudência, gerador de edição de súmula, porque não há interesse concreto a ser apreciado. </w:t>
      </w:r>
      <w:r w:rsidRPr="006A1457">
        <w:rPr>
          <w:i/>
          <w:sz w:val="24"/>
          <w:szCs w:val="24"/>
        </w:rPr>
        <w:t>In casu</w:t>
      </w:r>
      <w:r w:rsidRPr="006A1457">
        <w:rPr>
          <w:sz w:val="24"/>
          <w:szCs w:val="24"/>
        </w:rPr>
        <w:t xml:space="preserve">, impetrou-se mandado de segurança coletivo, com pedido liminar, para suspender os efeitos da Súmula n.º 18 do TRT da 18ª Região, cuja edição decorreu do julgamento do incidente de uniformização da jurisprudência suscitado durante a apreciação de recurso ordinário em sede de ação civil pública. O Juízo </w:t>
      </w:r>
      <w:r w:rsidRPr="006A1457">
        <w:rPr>
          <w:i/>
          <w:sz w:val="24"/>
          <w:szCs w:val="24"/>
        </w:rPr>
        <w:t>a quo</w:t>
      </w:r>
      <w:r w:rsidRPr="006A1457">
        <w:rPr>
          <w:sz w:val="24"/>
          <w:szCs w:val="24"/>
        </w:rPr>
        <w:t xml:space="preserve"> indeferiu liminarmente a petição inicial do </w:t>
      </w:r>
      <w:r w:rsidRPr="006A1457">
        <w:rPr>
          <w:i/>
          <w:sz w:val="24"/>
          <w:szCs w:val="24"/>
        </w:rPr>
        <w:t>writ</w:t>
      </w:r>
      <w:r w:rsidRPr="006A1457">
        <w:rPr>
          <w:sz w:val="24"/>
          <w:szCs w:val="24"/>
        </w:rPr>
        <w:t xml:space="preserve"> e o TRT negou provimento ao agravo regimental interposto dessa decisão, por entender incabível a sua impetração na hipótese, ainda que não passível de recurso o acórdão proferido pelo Pleno. Entendeu que caberia recurso para o TST da decisão proferida no processo principal, a ação civil pública, cujo julgamento se encontra suspenso, em face da instauração do incidente de uniformização de jurisprudência. Assim, o Órgão Especial negou provimento ao recurso ordinário em agravo regimental por reputar incabível o mandado de segurança, mantendo o acórdão do Regional por seus fundamentos, vencidos os Ministros Renato de Lacerda Paiva, relator, João Oreste Dalazen e Maria Cristina Irigoyen Peduzzi. </w:t>
      </w:r>
      <w:hyperlink r:id="rId8" w:history="1">
        <w:r w:rsidRPr="00487FC4">
          <w:rPr>
            <w:rStyle w:val="Hyperlink"/>
            <w:sz w:val="24"/>
            <w:szCs w:val="24"/>
          </w:rPr>
          <w:t>TST-RO-361-11.2011.5.18.0000</w:t>
        </w:r>
      </w:hyperlink>
      <w:r w:rsidRPr="006A1457">
        <w:rPr>
          <w:sz w:val="24"/>
          <w:szCs w:val="24"/>
          <w:u w:val="single"/>
        </w:rPr>
        <w:t>, Órgão Especial, rel. Min. Renato de Lacerda Paiva, red. p/ acórdão Min. Luiz Philippe Vieira de Mello Filho, 3.9.2012</w:t>
      </w:r>
    </w:p>
    <w:p w:rsidR="006A1457" w:rsidRPr="00A64C14" w:rsidRDefault="006A1457" w:rsidP="006A1457">
      <w:pPr>
        <w:jc w:val="both"/>
        <w:rPr>
          <w:sz w:val="10"/>
          <w:szCs w:val="10"/>
          <w:u w:val="single"/>
        </w:rPr>
      </w:pPr>
    </w:p>
    <w:p w:rsidR="006A1457" w:rsidRPr="006A1457" w:rsidRDefault="006A1457" w:rsidP="006A1457">
      <w:pPr>
        <w:jc w:val="both"/>
        <w:rPr>
          <w:b/>
          <w:i/>
          <w:sz w:val="24"/>
          <w:szCs w:val="24"/>
        </w:rPr>
      </w:pPr>
      <w:r w:rsidRPr="006A1457">
        <w:rPr>
          <w:b/>
          <w:i/>
          <w:sz w:val="24"/>
          <w:szCs w:val="24"/>
        </w:rPr>
        <w:t>Concurso público. Candidato aprovado em posição superior ao número de vagas disponíveis no edital. Criação de cargos durante o prazo de validade do certame. Direito subjetivo à nomeação. Caracterização.</w:t>
      </w:r>
    </w:p>
    <w:p w:rsidR="006A1457" w:rsidRDefault="006A1457" w:rsidP="006A1457">
      <w:pPr>
        <w:jc w:val="both"/>
        <w:rPr>
          <w:sz w:val="24"/>
          <w:szCs w:val="24"/>
          <w:u w:val="single"/>
        </w:rPr>
      </w:pPr>
      <w:r w:rsidRPr="006A1457">
        <w:rPr>
          <w:sz w:val="24"/>
          <w:szCs w:val="24"/>
        </w:rPr>
        <w:t xml:space="preserve">O candidato aprovado em concurso público e classificado em posição superior ao número de vagas disponíveis no edital tem, apenas, a simples expectativa de ingresso no serviço público. Todavia, adquire direito subjetivo à nomeação se comprovado o surgimento de novas vagas durante o prazo de validade do certame, bem como o interesse da Administração Pública em preenchê-las. Na hipótese, a presidência do TRT da 1ª Região, a despeito da criação de cargos pela Lei nº 11.877/08 e da destinação destes aos aprovados no concurso de 2008, conforme previsto na Resolução Administrativa nº 17/2007, resolveu não nomear os candidatos aprovados para o cargo de analista judiciário – área administrativa até a conclusão da pesquisa de carências de especialidades. Assim, o Órgão Especial, por unanimidade, conheceu dos recursos ordinários e, no mérito, deu-lhes provimento para conceder parcialmente a segurança, com ordem de preenchimento de 39 cargos de </w:t>
      </w:r>
      <w:r w:rsidRPr="006A1457">
        <w:rPr>
          <w:sz w:val="24"/>
          <w:szCs w:val="24"/>
        </w:rPr>
        <w:lastRenderedPageBreak/>
        <w:t xml:space="preserve">analista judiciário – área administrativa, criados pela Lei nº 11.877/08, pelos candidatos aprovados e habilitados em idêntico cargo na forma do concurso público realizado em 2008, observada a ordem de classificação e o prazo de validade do certame. </w:t>
      </w:r>
      <w:hyperlink r:id="rId9" w:history="1">
        <w:r w:rsidRPr="00487FC4">
          <w:rPr>
            <w:rStyle w:val="Hyperlink"/>
            <w:sz w:val="24"/>
            <w:szCs w:val="24"/>
          </w:rPr>
          <w:t>TST-RO-102000-17.2009.5.01.0000</w:t>
        </w:r>
      </w:hyperlink>
      <w:r w:rsidRPr="006A1457">
        <w:rPr>
          <w:sz w:val="24"/>
          <w:szCs w:val="24"/>
          <w:u w:val="single"/>
        </w:rPr>
        <w:t>, Órgão Especial, rel. Min. Alberto Luiz Bresciani de Fontan Pereira, 3.9.2012</w:t>
      </w:r>
    </w:p>
    <w:p w:rsidR="00A64C14" w:rsidRPr="006A1457" w:rsidRDefault="00A64C14" w:rsidP="006A1457">
      <w:pPr>
        <w:jc w:val="both"/>
        <w:rPr>
          <w:sz w:val="24"/>
          <w:szCs w:val="24"/>
        </w:rPr>
      </w:pPr>
    </w:p>
    <w:p w:rsidR="00C71A3B" w:rsidRPr="00A64C14" w:rsidRDefault="00C71A3B" w:rsidP="00F82D8F">
      <w:pPr>
        <w:pStyle w:val="Corpo"/>
        <w:spacing w:line="240" w:lineRule="auto"/>
        <w:ind w:firstLine="0"/>
        <w:rPr>
          <w:rFonts w:ascii="Times New Roman" w:hAnsi="Times New Roman" w:cs="Times New Roman"/>
          <w:b/>
          <w:bCs/>
          <w:shadow/>
          <w:color w:val="auto"/>
          <w:sz w:val="10"/>
          <w:szCs w:val="10"/>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5D1DE4" w:rsidRDefault="00FE00AD" w:rsidP="00F82D8F">
      <w:pPr>
        <w:pStyle w:val="Corpodetexto2"/>
        <w:jc w:val="center"/>
        <w:rPr>
          <w:b/>
          <w:bCs/>
          <w:emboss/>
          <w:sz w:val="10"/>
          <w:szCs w:val="10"/>
        </w:rPr>
      </w:pPr>
    </w:p>
    <w:p w:rsidR="006A1457" w:rsidRPr="006A1457" w:rsidRDefault="006A1457" w:rsidP="006A1457">
      <w:pPr>
        <w:jc w:val="both"/>
        <w:rPr>
          <w:b/>
          <w:i/>
          <w:sz w:val="24"/>
          <w:szCs w:val="24"/>
        </w:rPr>
      </w:pPr>
      <w:r w:rsidRPr="006A1457">
        <w:rPr>
          <w:b/>
          <w:i/>
          <w:sz w:val="24"/>
          <w:szCs w:val="24"/>
        </w:rPr>
        <w:t>Honorários advocatícios. Ação de cobrança. Natureza civil. Incompetência da Justiça do Trabalho.</w:t>
      </w:r>
    </w:p>
    <w:p w:rsidR="006A1457" w:rsidRDefault="006A1457" w:rsidP="006A1457">
      <w:pPr>
        <w:jc w:val="both"/>
        <w:rPr>
          <w:bCs/>
          <w:sz w:val="24"/>
          <w:szCs w:val="24"/>
          <w:u w:val="single"/>
        </w:rPr>
      </w:pPr>
      <w:r w:rsidRPr="006A1457">
        <w:rPr>
          <w:sz w:val="24"/>
          <w:szCs w:val="24"/>
        </w:rPr>
        <w:t xml:space="preserve">A Justiça do Trabalho não é competente para julgar ação de cobrança de honorários advocatícios, pois se refere a contrato de prestação de serviços, relação de índole </w:t>
      </w:r>
      <w:r>
        <w:rPr>
          <w:sz w:val="24"/>
          <w:szCs w:val="24"/>
        </w:rPr>
        <w:t>e</w:t>
      </w:r>
      <w:r w:rsidRPr="006A1457">
        <w:rPr>
          <w:sz w:val="24"/>
          <w:szCs w:val="24"/>
        </w:rPr>
        <w:t xml:space="preserve">minentemente civil, não guardando nenhuma pertinência com a relação de trabalho de que trata o art. 114, I, da CF. </w:t>
      </w:r>
      <w:r w:rsidRPr="006A1457">
        <w:rPr>
          <w:snapToGrid w:val="0"/>
          <w:sz w:val="24"/>
          <w:szCs w:val="24"/>
        </w:rPr>
        <w:t xml:space="preserve">Com esse entendimento, a SBDI-I, por unanimidade, conheceu dos embargos por divergência jurisprudencial e, no mérito, por maioria, deu-lhes provimento para restabelecer a decisão proferida pelo TRT, mediante a qual se acolhera a preliminar de incompetência material desta Justiça do Trabalho, e, anulando os atos decisórios praticados no processo, determinar a remessa dos autos à Justiça Comum Estadual, para que prossiga no feito como entender de direito. Na espécie, ressaltou o Ministro relator ser </w:t>
      </w:r>
      <w:r w:rsidRPr="006A1457">
        <w:rPr>
          <w:sz w:val="24"/>
          <w:szCs w:val="24"/>
        </w:rPr>
        <w:t xml:space="preserve">razoável “cometer a Justiça comum a tarefa de dirimir controvérsia relativa à prestação de serviços levada a cabo por </w:t>
      </w:r>
      <w:r w:rsidRPr="006A1457">
        <w:rPr>
          <w:snapToGrid w:val="0"/>
          <w:sz w:val="24"/>
          <w:szCs w:val="24"/>
        </w:rPr>
        <w:t>profissional autônomo que, senhor dos meios e das condições da prestação contratada, coloca-se em patamar de igualdade (senão de vantagem) em relação àquele que o contrata. Tal seria o caso típico dos profissionais da engenharia, advocacia, arquitetura e medicina que exercem seus misteres de forma autônoma, mediante utilização de meios próprios e em seu próprio favor.”</w:t>
      </w:r>
      <w:r w:rsidRPr="006A1457">
        <w:rPr>
          <w:sz w:val="24"/>
          <w:szCs w:val="24"/>
        </w:rPr>
        <w:t xml:space="preserve"> </w:t>
      </w:r>
      <w:r w:rsidRPr="006A1457">
        <w:rPr>
          <w:snapToGrid w:val="0"/>
          <w:sz w:val="24"/>
          <w:szCs w:val="24"/>
        </w:rPr>
        <w:t xml:space="preserve">Vencidos os Ministros Ives Gandra Martins Filho e Delaíde Miranda Arantes.  </w:t>
      </w:r>
      <w:hyperlink r:id="rId10" w:history="1">
        <w:r w:rsidRPr="004E4EDA">
          <w:rPr>
            <w:rStyle w:val="Hyperlink"/>
            <w:snapToGrid w:val="0"/>
            <w:sz w:val="24"/>
            <w:szCs w:val="24"/>
          </w:rPr>
          <w:t>TST-</w:t>
        </w:r>
        <w:r w:rsidRPr="004E4EDA">
          <w:rPr>
            <w:rStyle w:val="Hyperlink"/>
            <w:bCs/>
            <w:sz w:val="24"/>
            <w:szCs w:val="24"/>
          </w:rPr>
          <w:t>E-RR-48900-38.2008.5.15.0051</w:t>
        </w:r>
      </w:hyperlink>
      <w:r w:rsidRPr="006A1457">
        <w:rPr>
          <w:bCs/>
          <w:sz w:val="24"/>
          <w:szCs w:val="24"/>
          <w:u w:val="single"/>
        </w:rPr>
        <w:t>, SBDI-I, rel. Min. Lelio Bentes Corrêa, 30.8.2012</w:t>
      </w:r>
    </w:p>
    <w:p w:rsidR="00A64C14" w:rsidRPr="00A64C14" w:rsidRDefault="00A64C14" w:rsidP="006A1457">
      <w:pPr>
        <w:jc w:val="both"/>
        <w:rPr>
          <w:bCs/>
          <w:sz w:val="10"/>
          <w:szCs w:val="10"/>
          <w:u w:val="single"/>
        </w:rPr>
      </w:pPr>
    </w:p>
    <w:p w:rsidR="00A64C14" w:rsidRDefault="00A64C14" w:rsidP="00A64C14">
      <w:pPr>
        <w:jc w:val="both"/>
        <w:rPr>
          <w:b/>
          <w:i/>
          <w:sz w:val="24"/>
          <w:szCs w:val="24"/>
        </w:rPr>
      </w:pPr>
      <w:r>
        <w:rPr>
          <w:b/>
          <w:i/>
          <w:sz w:val="24"/>
          <w:szCs w:val="24"/>
        </w:rPr>
        <w:t>Horas extras. Fixação em norma coletiva. Impossibilidade. Prejuízo ao empregado.</w:t>
      </w:r>
    </w:p>
    <w:p w:rsidR="00A64C14" w:rsidRPr="00A40FA7" w:rsidRDefault="00A64C14" w:rsidP="00A64C14">
      <w:pPr>
        <w:jc w:val="both"/>
        <w:rPr>
          <w:sz w:val="24"/>
          <w:szCs w:val="24"/>
          <w:u w:val="single"/>
        </w:rPr>
      </w:pPr>
      <w:r>
        <w:rPr>
          <w:sz w:val="24"/>
          <w:szCs w:val="24"/>
        </w:rPr>
        <w:t>A fixação das horas extras pagas mensalmente ao empregado, mediante negociação coletiva, afronta o direito à percepção integral das horas efetivamente trabalhadas em sobrejornada, causando prejuízo ao trabalhador. Com base nesse entendimento, a SBDI-I, por unanimidade, conheceu dos embargos, por divergência jurisprudencial e, no mérito, deu-lhes provimento para declarar inválida a cláusula normativa que prevê o pagamento de horas extras de forma fixa, vencidos os Ministros Ives Gandra Martins Filho, Brito Pereira e Maria Cristina Irigoyen Peduzzi</w:t>
      </w:r>
      <w:r w:rsidRPr="003D032E">
        <w:rPr>
          <w:sz w:val="24"/>
          <w:szCs w:val="24"/>
        </w:rPr>
        <w:t>.</w:t>
      </w:r>
      <w:r>
        <w:rPr>
          <w:sz w:val="24"/>
          <w:szCs w:val="24"/>
        </w:rPr>
        <w:t xml:space="preserve"> Na espécie, a Turma manteve o acórdão do Regional que havia concluído pela validade da norma coletiva que fixou o pagamento de sessenta horas extras mensais, porquanto atendia às peculiaridades dos motoristas da empresa acordante, remunerando satisfatoriamente as eventuais horas extras prestadas durante os longos intervalos intrajornada a que eram submetidos, o que acabava por desdobrar a jornada em três períodos, sem caracterizar, porém, tempo à disposição do empregador.</w:t>
      </w:r>
      <w:r w:rsidRPr="003D032E">
        <w:rPr>
          <w:sz w:val="24"/>
          <w:szCs w:val="24"/>
        </w:rPr>
        <w:t xml:space="preserve"> </w:t>
      </w:r>
      <w:hyperlink r:id="rId11" w:history="1">
        <w:r w:rsidRPr="004E4EDA">
          <w:rPr>
            <w:rStyle w:val="Hyperlink"/>
            <w:sz w:val="24"/>
            <w:szCs w:val="24"/>
          </w:rPr>
          <w:t>TST-ERR-1219-71.2010.5.18.0131</w:t>
        </w:r>
      </w:hyperlink>
      <w:r w:rsidRPr="003D032E">
        <w:rPr>
          <w:sz w:val="24"/>
          <w:szCs w:val="24"/>
          <w:u w:val="single"/>
        </w:rPr>
        <w:t>, SBDI-</w:t>
      </w:r>
      <w:r>
        <w:rPr>
          <w:sz w:val="24"/>
          <w:szCs w:val="24"/>
          <w:u w:val="single"/>
        </w:rPr>
        <w:t xml:space="preserve">I, </w:t>
      </w:r>
      <w:r w:rsidRPr="003D032E">
        <w:rPr>
          <w:sz w:val="24"/>
          <w:szCs w:val="24"/>
          <w:u w:val="single"/>
        </w:rPr>
        <w:t xml:space="preserve">Min. </w:t>
      </w:r>
      <w:r>
        <w:rPr>
          <w:sz w:val="24"/>
          <w:szCs w:val="24"/>
          <w:u w:val="single"/>
        </w:rPr>
        <w:t>Horácio Raymundo de Senna Pires, 30.8.2012</w:t>
      </w:r>
    </w:p>
    <w:p w:rsidR="00B14F7F" w:rsidRPr="00A64C14" w:rsidRDefault="00B14F7F" w:rsidP="000C3022">
      <w:pPr>
        <w:ind w:right="-567"/>
        <w:jc w:val="both"/>
        <w:rPr>
          <w:b/>
          <w:i/>
        </w:rPr>
      </w:pPr>
    </w:p>
    <w:p w:rsidR="00BC1DE7" w:rsidRPr="005D1DE4" w:rsidRDefault="00BC1DE7" w:rsidP="00C71A3B">
      <w:pPr>
        <w:pStyle w:val="Corpo"/>
        <w:spacing w:line="240" w:lineRule="auto"/>
        <w:ind w:firstLine="0"/>
        <w:rPr>
          <w:rFonts w:ascii="Times New Roman" w:hAnsi="Times New Roman" w:cs="Times New Roman"/>
          <w:sz w:val="10"/>
          <w:szCs w:val="10"/>
          <w:u w:val="single"/>
          <w:lang w:val="pt-BR" w:eastAsia="en-US"/>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9027C8" w:rsidRPr="005D1DE4" w:rsidRDefault="009027C8" w:rsidP="009027C8">
      <w:pPr>
        <w:pStyle w:val="tema"/>
        <w:tabs>
          <w:tab w:val="left" w:pos="11482"/>
          <w:tab w:val="left" w:pos="11624"/>
        </w:tabs>
        <w:ind w:left="0"/>
        <w:rPr>
          <w:rFonts w:ascii="Times New Roman" w:hAnsi="Times New Roman" w:cs="Times New Roman"/>
          <w:i/>
          <w:caps w:val="0"/>
          <w:color w:val="auto"/>
          <w:sz w:val="10"/>
          <w:szCs w:val="10"/>
        </w:rPr>
      </w:pPr>
    </w:p>
    <w:p w:rsidR="00A64C14" w:rsidRDefault="00A64C14" w:rsidP="00A64C14">
      <w:pPr>
        <w:jc w:val="both"/>
        <w:rPr>
          <w:b/>
          <w:i/>
          <w:sz w:val="24"/>
          <w:szCs w:val="24"/>
        </w:rPr>
      </w:pPr>
      <w:r>
        <w:rPr>
          <w:b/>
          <w:i/>
          <w:sz w:val="24"/>
          <w:szCs w:val="24"/>
        </w:rPr>
        <w:t>CC. Ação coletiva. Decisão com e</w:t>
      </w:r>
      <w:r w:rsidRPr="009953B1">
        <w:rPr>
          <w:b/>
          <w:i/>
          <w:sz w:val="24"/>
          <w:szCs w:val="24"/>
        </w:rPr>
        <w:t xml:space="preserve">feitos </w:t>
      </w:r>
      <w:r w:rsidRPr="00D20C33">
        <w:rPr>
          <w:i/>
          <w:sz w:val="24"/>
          <w:szCs w:val="24"/>
        </w:rPr>
        <w:t>erga omnes</w:t>
      </w:r>
      <w:r>
        <w:rPr>
          <w:b/>
          <w:i/>
          <w:sz w:val="24"/>
          <w:szCs w:val="24"/>
        </w:rPr>
        <w:t>. Execução i</w:t>
      </w:r>
      <w:r w:rsidRPr="009953B1">
        <w:rPr>
          <w:b/>
          <w:i/>
          <w:sz w:val="24"/>
          <w:szCs w:val="24"/>
        </w:rPr>
        <w:t>ndividual.</w:t>
      </w:r>
      <w:r>
        <w:rPr>
          <w:b/>
          <w:i/>
          <w:sz w:val="24"/>
          <w:szCs w:val="24"/>
        </w:rPr>
        <w:t xml:space="preserve"> Art. 877 da CLT. Não incidência.</w:t>
      </w:r>
    </w:p>
    <w:p w:rsidR="00A64C14" w:rsidRPr="00FF3772" w:rsidRDefault="00A64C14" w:rsidP="00A64C14">
      <w:pPr>
        <w:jc w:val="both"/>
        <w:rPr>
          <w:sz w:val="24"/>
          <w:szCs w:val="24"/>
          <w:u w:val="single"/>
        </w:rPr>
      </w:pPr>
      <w:r>
        <w:rPr>
          <w:sz w:val="24"/>
          <w:szCs w:val="24"/>
        </w:rPr>
        <w:t>O</w:t>
      </w:r>
      <w:r w:rsidRPr="009953B1">
        <w:rPr>
          <w:sz w:val="24"/>
          <w:szCs w:val="24"/>
        </w:rPr>
        <w:t xml:space="preserve"> art. 877 da CLT</w:t>
      </w:r>
      <w:r>
        <w:rPr>
          <w:sz w:val="24"/>
          <w:szCs w:val="24"/>
        </w:rPr>
        <w:t xml:space="preserve"> - segundo o qual </w:t>
      </w:r>
      <w:r w:rsidRPr="00FF3772">
        <w:rPr>
          <w:sz w:val="24"/>
          <w:szCs w:val="24"/>
        </w:rPr>
        <w:t>é competente para a execução das decisões o Juiz ou</w:t>
      </w:r>
      <w:r>
        <w:rPr>
          <w:sz w:val="24"/>
          <w:szCs w:val="24"/>
        </w:rPr>
        <w:t xml:space="preserve"> o </w:t>
      </w:r>
      <w:r w:rsidRPr="00FF3772">
        <w:rPr>
          <w:sz w:val="24"/>
          <w:szCs w:val="24"/>
        </w:rPr>
        <w:t>Presidente do Tribunal que tiver conciliado ou julgado originariamente o dissídio</w:t>
      </w:r>
      <w:r>
        <w:rPr>
          <w:sz w:val="24"/>
          <w:szCs w:val="24"/>
        </w:rPr>
        <w:t xml:space="preserve"> -</w:t>
      </w:r>
      <w:r w:rsidRPr="009953B1">
        <w:rPr>
          <w:sz w:val="24"/>
          <w:szCs w:val="24"/>
        </w:rPr>
        <w:t xml:space="preserve"> não </w:t>
      </w:r>
      <w:r>
        <w:rPr>
          <w:sz w:val="24"/>
          <w:szCs w:val="24"/>
        </w:rPr>
        <w:t>é</w:t>
      </w:r>
      <w:r w:rsidRPr="009953B1">
        <w:rPr>
          <w:sz w:val="24"/>
          <w:szCs w:val="24"/>
        </w:rPr>
        <w:t xml:space="preserve"> </w:t>
      </w:r>
      <w:r>
        <w:rPr>
          <w:sz w:val="24"/>
          <w:szCs w:val="24"/>
        </w:rPr>
        <w:t xml:space="preserve">aplicável à execução individual das decisões proferidas em </w:t>
      </w:r>
      <w:r w:rsidRPr="009953B1">
        <w:rPr>
          <w:sz w:val="24"/>
          <w:szCs w:val="24"/>
        </w:rPr>
        <w:t>aç</w:t>
      </w:r>
      <w:r>
        <w:rPr>
          <w:sz w:val="24"/>
          <w:szCs w:val="24"/>
        </w:rPr>
        <w:t xml:space="preserve">ão </w:t>
      </w:r>
      <w:r w:rsidRPr="009953B1">
        <w:rPr>
          <w:sz w:val="24"/>
          <w:szCs w:val="24"/>
        </w:rPr>
        <w:t>coletiva</w:t>
      </w:r>
      <w:r>
        <w:rPr>
          <w:sz w:val="24"/>
          <w:szCs w:val="24"/>
        </w:rPr>
        <w:t xml:space="preserve">, porquanto possui </w:t>
      </w:r>
      <w:r w:rsidRPr="009953B1">
        <w:rPr>
          <w:sz w:val="24"/>
          <w:szCs w:val="24"/>
        </w:rPr>
        <w:t>procedimento específico e regulamentado na Lei de Ação Civil Pública, combinada com o Código de Defesa do Consumidor, ambos plenamente compatíveis com o Processo do Trabalho</w:t>
      </w:r>
      <w:r>
        <w:rPr>
          <w:sz w:val="24"/>
          <w:szCs w:val="24"/>
        </w:rPr>
        <w:t xml:space="preserve">. Assim, na hipótese em que a </w:t>
      </w:r>
      <w:r w:rsidRPr="009953B1">
        <w:rPr>
          <w:sz w:val="24"/>
          <w:szCs w:val="24"/>
        </w:rPr>
        <w:t xml:space="preserve">exequente, domiciliada em Fortaleza/CE, aforou execução individualizada, dizendo-se beneficiada pelos efeitos </w:t>
      </w:r>
      <w:r w:rsidRPr="00800B1D">
        <w:rPr>
          <w:i/>
          <w:sz w:val="24"/>
          <w:szCs w:val="24"/>
        </w:rPr>
        <w:t>erga omnes</w:t>
      </w:r>
      <w:r>
        <w:rPr>
          <w:sz w:val="24"/>
          <w:szCs w:val="24"/>
        </w:rPr>
        <w:t xml:space="preserve"> da coisa julgada</w:t>
      </w:r>
      <w:r w:rsidRPr="009953B1">
        <w:rPr>
          <w:sz w:val="24"/>
          <w:szCs w:val="24"/>
        </w:rPr>
        <w:t xml:space="preserve"> produzida em ação coletiva que tramitou na Vara do Trabalho de Araucária/PR</w:t>
      </w:r>
      <w:r>
        <w:rPr>
          <w:sz w:val="24"/>
          <w:szCs w:val="24"/>
        </w:rPr>
        <w:t xml:space="preserve">, a </w:t>
      </w:r>
      <w:r w:rsidRPr="009953B1">
        <w:rPr>
          <w:sz w:val="24"/>
          <w:szCs w:val="24"/>
        </w:rPr>
        <w:t>SBDI-</w:t>
      </w:r>
      <w:r>
        <w:rPr>
          <w:sz w:val="24"/>
          <w:szCs w:val="24"/>
        </w:rPr>
        <w:t>II, por unanimidade,</w:t>
      </w:r>
      <w:r w:rsidRPr="009953B1">
        <w:rPr>
          <w:sz w:val="24"/>
          <w:szCs w:val="24"/>
        </w:rPr>
        <w:t xml:space="preserve"> </w:t>
      </w:r>
      <w:r>
        <w:rPr>
          <w:sz w:val="24"/>
          <w:szCs w:val="24"/>
        </w:rPr>
        <w:t xml:space="preserve">julgou procedente o conflito </w:t>
      </w:r>
      <w:r>
        <w:rPr>
          <w:sz w:val="24"/>
          <w:szCs w:val="24"/>
        </w:rPr>
        <w:lastRenderedPageBreak/>
        <w:t xml:space="preserve">negativo de competência para declarar competente a Vara do Trabalho de Fortaleza/CE. Ressaltou o Ministro relator que </w:t>
      </w:r>
      <w:r w:rsidRPr="009953B1">
        <w:rPr>
          <w:sz w:val="24"/>
          <w:szCs w:val="24"/>
        </w:rPr>
        <w:t>entendimento em</w:t>
      </w:r>
      <w:r>
        <w:rPr>
          <w:sz w:val="24"/>
          <w:szCs w:val="24"/>
        </w:rPr>
        <w:t xml:space="preserve"> sentido</w:t>
      </w:r>
      <w:r w:rsidRPr="009953B1">
        <w:rPr>
          <w:sz w:val="24"/>
          <w:szCs w:val="24"/>
        </w:rPr>
        <w:t xml:space="preserve"> contrário </w:t>
      </w:r>
      <w:r>
        <w:rPr>
          <w:sz w:val="24"/>
          <w:szCs w:val="24"/>
        </w:rPr>
        <w:t xml:space="preserve">imporia </w:t>
      </w:r>
      <w:r w:rsidRPr="009953B1">
        <w:rPr>
          <w:sz w:val="24"/>
          <w:szCs w:val="24"/>
        </w:rPr>
        <w:t xml:space="preserve">aos beneficiários da ação coletiva um ônus processual desarrazoado, </w:t>
      </w:r>
      <w:r>
        <w:rPr>
          <w:sz w:val="24"/>
          <w:szCs w:val="24"/>
        </w:rPr>
        <w:t xml:space="preserve">o que tornaria ineficaz </w:t>
      </w:r>
      <w:r w:rsidRPr="009953B1">
        <w:rPr>
          <w:sz w:val="24"/>
          <w:szCs w:val="24"/>
        </w:rPr>
        <w:t xml:space="preserve">o pleno, rápido e garantido </w:t>
      </w:r>
      <w:r>
        <w:rPr>
          <w:sz w:val="24"/>
          <w:szCs w:val="24"/>
        </w:rPr>
        <w:t>acesso à jurisdição e</w:t>
      </w:r>
      <w:r w:rsidRPr="009953B1">
        <w:rPr>
          <w:sz w:val="24"/>
          <w:szCs w:val="24"/>
        </w:rPr>
        <w:t xml:space="preserve"> viola</w:t>
      </w:r>
      <w:r>
        <w:rPr>
          <w:sz w:val="24"/>
          <w:szCs w:val="24"/>
        </w:rPr>
        <w:t>ria</w:t>
      </w:r>
      <w:r w:rsidRPr="009953B1">
        <w:rPr>
          <w:sz w:val="24"/>
          <w:szCs w:val="24"/>
        </w:rPr>
        <w:t xml:space="preserve"> a garantia constitucional do Devido Processo Legal Substancial.</w:t>
      </w:r>
      <w:r>
        <w:rPr>
          <w:sz w:val="24"/>
          <w:szCs w:val="24"/>
        </w:rPr>
        <w:t xml:space="preserve"> </w:t>
      </w:r>
      <w:hyperlink r:id="rId12" w:history="1">
        <w:r w:rsidRPr="00800B1D">
          <w:rPr>
            <w:rStyle w:val="Hyperlink"/>
            <w:sz w:val="24"/>
            <w:szCs w:val="24"/>
          </w:rPr>
          <w:t>TST-CC-1421-83.2012.5.00.0000</w:t>
        </w:r>
      </w:hyperlink>
      <w:r w:rsidRPr="00800B1D">
        <w:rPr>
          <w:sz w:val="24"/>
          <w:szCs w:val="24"/>
          <w:u w:val="single"/>
        </w:rPr>
        <w:t>, SBDI-</w:t>
      </w:r>
      <w:r>
        <w:rPr>
          <w:sz w:val="24"/>
          <w:szCs w:val="24"/>
          <w:u w:val="single"/>
        </w:rPr>
        <w:t>II</w:t>
      </w:r>
      <w:r w:rsidRPr="00800B1D">
        <w:rPr>
          <w:sz w:val="24"/>
          <w:szCs w:val="24"/>
          <w:u w:val="single"/>
        </w:rPr>
        <w:t>, rel. Min. Alexandre Agra Belmonte, 28.8.2012</w:t>
      </w:r>
    </w:p>
    <w:p w:rsidR="00A64C14" w:rsidRPr="005D1DE4" w:rsidRDefault="00A64C14" w:rsidP="005460BD">
      <w:pPr>
        <w:ind w:right="-71"/>
        <w:jc w:val="both"/>
      </w:pPr>
    </w:p>
    <w:p w:rsidR="00EA29F5" w:rsidRPr="005D1DE4" w:rsidRDefault="00EA29F5" w:rsidP="004B21AD">
      <w:pPr>
        <w:pStyle w:val="EXPLICAO"/>
        <w:ind w:left="0"/>
        <w:rPr>
          <w:rFonts w:ascii="Times New Roman" w:hAnsi="Times New Roman" w:cs="Times New Roman"/>
          <w:b/>
          <w:color w:val="auto"/>
          <w:sz w:val="10"/>
          <w:szCs w:val="10"/>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1A" w:rsidRDefault="00497C1A">
      <w:r>
        <w:separator/>
      </w:r>
    </w:p>
  </w:endnote>
  <w:endnote w:type="continuationSeparator" w:id="0">
    <w:p w:rsidR="00497C1A" w:rsidRDefault="0049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DA" w:rsidRDefault="004E4ED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6A48">
      <w:rPr>
        <w:rStyle w:val="Nmerodepgina"/>
        <w:noProof/>
      </w:rPr>
      <w:t>3</w:t>
    </w:r>
    <w:r>
      <w:rPr>
        <w:rStyle w:val="Nmerodepgina"/>
      </w:rPr>
      <w:fldChar w:fldCharType="end"/>
    </w:r>
  </w:p>
  <w:p w:rsidR="004E4EDA" w:rsidRDefault="004E4EDA">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DA" w:rsidRDefault="004E4EDA">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AE6A48">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1A" w:rsidRDefault="00497C1A">
      <w:r>
        <w:separator/>
      </w:r>
    </w:p>
  </w:footnote>
  <w:footnote w:type="continuationSeparator" w:id="0">
    <w:p w:rsidR="00497C1A" w:rsidRDefault="00497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DA" w:rsidRPr="00971E07" w:rsidRDefault="004E4EDA">
    <w:pPr>
      <w:pStyle w:val="Corpodetexto"/>
      <w:jc w:val="right"/>
      <w:rPr>
        <w:shadow/>
        <w:sz w:val="24"/>
        <w:szCs w:val="24"/>
      </w:rPr>
    </w:pPr>
    <w:r w:rsidRPr="00971E07">
      <w:rPr>
        <w:shadow/>
        <w:sz w:val="24"/>
        <w:szCs w:val="24"/>
      </w:rPr>
      <w:t xml:space="preserve">Informativo TST - </w:t>
    </w:r>
    <w:r>
      <w:rPr>
        <w:shadow/>
        <w:sz w:val="24"/>
        <w:szCs w:val="24"/>
      </w:rPr>
      <w:t>n</w:t>
    </w:r>
    <w:r w:rsidRPr="00971E07">
      <w:rPr>
        <w:shadow/>
        <w:sz w:val="24"/>
        <w:szCs w:val="24"/>
      </w:rPr>
      <w:t xml:space="preserve">º </w:t>
    </w:r>
    <w:r>
      <w:rPr>
        <w:shadow/>
        <w:sz w:val="24"/>
        <w:szCs w:val="24"/>
      </w:rPr>
      <w:t>20</w:t>
    </w:r>
  </w:p>
  <w:p w:rsidR="004E4EDA" w:rsidRPr="00971E07" w:rsidRDefault="004E4EDA">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Pr>
        <w:sz w:val="20"/>
        <w:szCs w:val="20"/>
      </w:rPr>
      <w:t>Período: 28 de agosto</w:t>
    </w:r>
    <w:r w:rsidRPr="00971E07">
      <w:rPr>
        <w:sz w:val="20"/>
        <w:szCs w:val="20"/>
      </w:rPr>
      <w:t xml:space="preserve"> a </w:t>
    </w:r>
    <w:r>
      <w:rPr>
        <w:sz w:val="20"/>
        <w:szCs w:val="20"/>
      </w:rPr>
      <w:t>3 de setembro</w:t>
    </w:r>
    <w:r w:rsidRPr="00971E07">
      <w:rPr>
        <w:sz w:val="20"/>
        <w:szCs w:val="20"/>
      </w:rPr>
      <w:t xml:space="preserve"> de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DA" w:rsidRDefault="004E4ED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4E4EDA" w:rsidRPr="002168DE" w:rsidRDefault="004E4ED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20</w:t>
    </w:r>
  </w:p>
  <w:p w:rsidR="004E4EDA" w:rsidRPr="005D1DE4" w:rsidRDefault="004E4EDA">
    <w:pPr>
      <w:pStyle w:val="Cabealho"/>
      <w:jc w:val="right"/>
      <w:rPr>
        <w:i/>
        <w:iCs/>
        <w:sz w:val="10"/>
        <w:szCs w:val="10"/>
      </w:rPr>
    </w:pPr>
  </w:p>
  <w:p w:rsidR="004E4EDA" w:rsidRPr="005D1DE4" w:rsidRDefault="004E4EDA">
    <w:pPr>
      <w:pStyle w:val="Cabealho"/>
      <w:jc w:val="right"/>
    </w:pPr>
    <w:r>
      <w:rPr>
        <w:i/>
        <w:iCs/>
      </w:rPr>
      <w:t>Período:</w:t>
    </w:r>
    <w:r w:rsidRPr="005D1DE4">
      <w:rPr>
        <w:i/>
        <w:iCs/>
      </w:rPr>
      <w:t xml:space="preserve"> </w:t>
    </w:r>
    <w:r>
      <w:rPr>
        <w:i/>
        <w:iCs/>
      </w:rPr>
      <w:t>28 de agosto</w:t>
    </w:r>
    <w:r w:rsidRPr="005D1DE4">
      <w:rPr>
        <w:i/>
        <w:iCs/>
      </w:rPr>
      <w:t xml:space="preserve"> a </w:t>
    </w:r>
    <w:r>
      <w:rPr>
        <w:i/>
        <w:iCs/>
      </w:rPr>
      <w:t xml:space="preserve">3 de setembro </w:t>
    </w:r>
    <w:r w:rsidRPr="005D1DE4">
      <w:rPr>
        <w:i/>
        <w:iCs/>
      </w:rPr>
      <w:t>de 2012</w:t>
    </w:r>
  </w:p>
  <w:p w:rsidR="004E4EDA" w:rsidRDefault="004E4ED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6521"/>
    <w:rsid w:val="00486DFC"/>
    <w:rsid w:val="00487FC4"/>
    <w:rsid w:val="004922D6"/>
    <w:rsid w:val="00497C1A"/>
    <w:rsid w:val="004A14FC"/>
    <w:rsid w:val="004A5264"/>
    <w:rsid w:val="004B21AD"/>
    <w:rsid w:val="004C011C"/>
    <w:rsid w:val="004C14EA"/>
    <w:rsid w:val="004C2118"/>
    <w:rsid w:val="004C2612"/>
    <w:rsid w:val="004D6000"/>
    <w:rsid w:val="004D6415"/>
    <w:rsid w:val="004D71E8"/>
    <w:rsid w:val="004E393E"/>
    <w:rsid w:val="004E4507"/>
    <w:rsid w:val="004E4619"/>
    <w:rsid w:val="004E4EDA"/>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A1457"/>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83B7B"/>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64C14"/>
    <w:rsid w:val="00A75419"/>
    <w:rsid w:val="00A76661"/>
    <w:rsid w:val="00A76D2A"/>
    <w:rsid w:val="00A82081"/>
    <w:rsid w:val="00A8557E"/>
    <w:rsid w:val="00A91181"/>
    <w:rsid w:val="00A935AC"/>
    <w:rsid w:val="00AB299E"/>
    <w:rsid w:val="00AB507C"/>
    <w:rsid w:val="00AD6E76"/>
    <w:rsid w:val="00AE3EAA"/>
    <w:rsid w:val="00AE5EDF"/>
    <w:rsid w:val="00AE6A48"/>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styleId="HiperlinkVisitado">
    <w:name w:val="FollowedHyperlink"/>
    <w:uiPriority w:val="99"/>
    <w:semiHidden/>
    <w:unhideWhenUsed/>
    <w:rsid w:val="00487F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361&amp;digitoTst=11&amp;anoTst=2011&amp;orgaoTst=5&amp;tribunalTst=18&amp;varaTst=000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1421&amp;digitoTst=83&amp;anoTst=2012&amp;orgaoTst=5&amp;tribunalTst=00&amp;varaTst=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1219&amp;digitoTst=71&amp;anoTst=2010&amp;orgaoTst=5&amp;tribunalTst=18&amp;varaTst=013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licacao5.tst.jus.br/consultaProcessual/consultaTstNumUnica.do?consulta=Consultar&amp;conscsjt=&amp;numeroTst=48900&amp;digitoTst=38&amp;anoTst=2008&amp;orgaoTst=5&amp;tribunalTst=15&amp;varaTst=0051"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102000&amp;digitoTst=17&amp;anoTst=2009&amp;orgaoTst=5&amp;tribunalTst=01&amp;varaTst=000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FDAF-4098-4D2B-99F6-F8D1FAE5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8176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9671</CharactersWithSpaces>
  <SharedDoc>false</SharedDoc>
  <HLinks>
    <vt:vector size="36" baseType="variant">
      <vt:variant>
        <vt:i4>6881396</vt:i4>
      </vt:variant>
      <vt:variant>
        <vt:i4>15</vt:i4>
      </vt:variant>
      <vt:variant>
        <vt:i4>0</vt:i4>
      </vt:variant>
      <vt:variant>
        <vt:i4>5</vt:i4>
      </vt:variant>
      <vt:variant>
        <vt:lpwstr>https://aplicacao5.tst.jus.br/consultaProcessual/consultaTstNumUnica.do?consulta=Consultar&amp;conscsjt=&amp;numeroTst=1421&amp;digitoTst=83&amp;anoTst=2012&amp;orgaoTst=5&amp;tribunalTst=00&amp;varaTst=0000</vt:lpwstr>
      </vt:variant>
      <vt:variant>
        <vt:lpwstr/>
      </vt:variant>
      <vt:variant>
        <vt:i4>6357109</vt:i4>
      </vt:variant>
      <vt:variant>
        <vt:i4>12</vt:i4>
      </vt:variant>
      <vt:variant>
        <vt:i4>0</vt:i4>
      </vt:variant>
      <vt:variant>
        <vt:i4>5</vt:i4>
      </vt:variant>
      <vt:variant>
        <vt:lpwstr>https://aplicacao5.tst.jus.br/consultaProcessual/consultaTstNumUnica.do?consulta=Consultar&amp;conscsjt=&amp;numeroTst=1219&amp;digitoTst=71&amp;anoTst=2010&amp;orgaoTst=5&amp;tribunalTst=18&amp;varaTst=0131</vt:lpwstr>
      </vt:variant>
      <vt:variant>
        <vt:lpwstr/>
      </vt:variant>
      <vt:variant>
        <vt:i4>1638412</vt:i4>
      </vt:variant>
      <vt:variant>
        <vt:i4>9</vt:i4>
      </vt:variant>
      <vt:variant>
        <vt:i4>0</vt:i4>
      </vt:variant>
      <vt:variant>
        <vt:i4>5</vt:i4>
      </vt:variant>
      <vt:variant>
        <vt:lpwstr>https://aplicacao5.tst.jus.br/consultaProcessual/consultaTstNumUnica.do?consulta=Consultar&amp;conscsjt=&amp;numeroTst=48900&amp;digitoTst=38&amp;anoTst=2008&amp;orgaoTst=5&amp;tribunalTst=15&amp;varaTst=0051</vt:lpwstr>
      </vt:variant>
      <vt:variant>
        <vt:lpwstr/>
      </vt:variant>
      <vt:variant>
        <vt:i4>5701705</vt:i4>
      </vt:variant>
      <vt:variant>
        <vt:i4>6</vt:i4>
      </vt:variant>
      <vt:variant>
        <vt:i4>0</vt:i4>
      </vt:variant>
      <vt:variant>
        <vt:i4>5</vt:i4>
      </vt:variant>
      <vt:variant>
        <vt:lpwstr>https://aplicacao5.tst.jus.br/consultaProcessual/consultaTstNumUnica.do?consulta=Consultar&amp;conscsjt=&amp;numeroTst=102000&amp;digitoTst=17&amp;anoTst=2009&amp;orgaoTst=5&amp;tribunalTst=01&amp;varaTst=0000</vt:lpwstr>
      </vt:variant>
      <vt:variant>
        <vt:lpwstr/>
      </vt:variant>
      <vt:variant>
        <vt:i4>2359354</vt:i4>
      </vt:variant>
      <vt:variant>
        <vt:i4>3</vt:i4>
      </vt:variant>
      <vt:variant>
        <vt:i4>0</vt:i4>
      </vt:variant>
      <vt:variant>
        <vt:i4>5</vt:i4>
      </vt:variant>
      <vt:variant>
        <vt:lpwstr>https://aplicacao5.tst.jus.br/consultaProcessual/consultaTstNumUnica.do?consulta=Consultar&amp;conscsjt=&amp;numeroTst=361&amp;digitoTst=11&amp;anoTst=2011&amp;orgaoTst=5&amp;tribunalTst=18&amp;varaTst=0000</vt:lpwstr>
      </vt:variant>
      <vt:variant>
        <vt:lpwstr/>
      </vt:variant>
      <vt:variant>
        <vt:i4>7012465</vt:i4>
      </vt:variant>
      <vt:variant>
        <vt:i4>0</vt:i4>
      </vt:variant>
      <vt:variant>
        <vt:i4>0</vt:i4>
      </vt:variant>
      <vt:variant>
        <vt:i4>5</vt:i4>
      </vt:variant>
      <vt:variant>
        <vt:lpwstr>https://aplicacao5.tst.jus.br/consultaProcessual/consultaTstNumUnica.do?consulta=Consultar&amp;conscsjt=&amp;numeroTst=2519&amp;digitoTst=45&amp;anoTst=2011&amp;orgaoTst=5&amp;tribunalTst=07&amp;varaTst=0000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2018-06-27T22:31:00Z</dcterms:created>
  <dcterms:modified xsi:type="dcterms:W3CDTF">2018-06-27T22:31:00Z</dcterms:modified>
</cp:coreProperties>
</file>