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9359D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5D1DE4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10"/>
          <w:szCs w:val="10"/>
          <w:lang w:val="pt-BR"/>
        </w:rPr>
      </w:pPr>
    </w:p>
    <w:p w:rsidR="009359D2" w:rsidRDefault="009359D2" w:rsidP="009359D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DC. Greve. Abusividade. Não configuração. Dispensa coletiva. Exigência de negociação com o sindicato profissional .</w:t>
      </w:r>
    </w:p>
    <w:p w:rsidR="009359D2" w:rsidRDefault="009359D2" w:rsidP="009359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Ao contrário da dispensa individual, que se insere no poder potestativo do empregador, a dispensa coletiva tem relevante impacto econômico, social e jurídico sobre os trabalhadores, seus familiares, a comunidade empresarial, a população regional e o mercado econômico interno, configurando-se matéria própria da negociação coletiva mediante a imprescindível participação do sindicado profissional, nos termos do art. 8º, III e VI, da CF. Caberá à negociação ou à sentença normativa proferida nos autos de dissídio coletivo, caso as partes não cheguem a um acordo, fixar as condutas para o enfrentamento da crise econômica empresarial, amortizando o impacto da dispensa massiva sobre o conjunto dos trabalhadores afetados. Com esse entendimento, e não vislumbrando abusividade na greve deflagrada pelos empregados da CAF Brasil Indústria e Comércio S.A. com o objetivo de tentar regulamentar a despedida em massa, a SDC, por unanimidade, conheceu do recurso ordinário, no tópico, e no mérito, negou-lhe provimento.</w:t>
      </w:r>
      <w:r w:rsidRPr="00D54A34">
        <w:rPr>
          <w:sz w:val="24"/>
          <w:szCs w:val="24"/>
        </w:rPr>
        <w:t xml:space="preserve"> </w:t>
      </w:r>
      <w:hyperlink r:id="rId8" w:history="1">
        <w:r w:rsidRPr="00D54A34">
          <w:rPr>
            <w:rStyle w:val="Hyperlink"/>
            <w:sz w:val="24"/>
            <w:szCs w:val="24"/>
          </w:rPr>
          <w:t>TST-RO-173-02.2011.5.15.0000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SDC, </w:t>
      </w:r>
      <w:r w:rsidR="00D54A34">
        <w:rPr>
          <w:sz w:val="24"/>
          <w:szCs w:val="24"/>
          <w:u w:val="single"/>
        </w:rPr>
        <w:t xml:space="preserve">rel. </w:t>
      </w:r>
      <w:r w:rsidRPr="003D032E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Mauricio Godinho Delgado, 13.8.2012</w:t>
      </w:r>
    </w:p>
    <w:p w:rsidR="00F37B98" w:rsidRPr="00D54A34" w:rsidRDefault="00F37B98" w:rsidP="009359D2">
      <w:pPr>
        <w:jc w:val="both"/>
        <w:rPr>
          <w:u w:val="single"/>
        </w:rPr>
      </w:pPr>
    </w:p>
    <w:p w:rsidR="00F37B98" w:rsidRPr="004C26D9" w:rsidRDefault="00F37B98" w:rsidP="00F37B98">
      <w:pPr>
        <w:jc w:val="both"/>
        <w:rPr>
          <w:b/>
          <w:i/>
          <w:sz w:val="24"/>
          <w:szCs w:val="24"/>
        </w:rPr>
      </w:pPr>
      <w:r w:rsidRPr="004C26D9">
        <w:rPr>
          <w:b/>
          <w:i/>
          <w:sz w:val="24"/>
          <w:szCs w:val="24"/>
        </w:rPr>
        <w:t xml:space="preserve">Ação anulatória. </w:t>
      </w:r>
      <w:r>
        <w:rPr>
          <w:b/>
          <w:i/>
          <w:sz w:val="24"/>
          <w:szCs w:val="24"/>
        </w:rPr>
        <w:t>Trabalho em feriados no comércio em geral. Autorização em acordo coletivo. Impossibilidade. Exigência de previsão em convenção coletiva. Art. 6º-A da Lei</w:t>
      </w:r>
      <w:r w:rsidRPr="004D5610">
        <w:rPr>
          <w:sz w:val="24"/>
          <w:szCs w:val="24"/>
        </w:rPr>
        <w:t xml:space="preserve"> </w:t>
      </w:r>
      <w:r w:rsidRPr="004D5610">
        <w:rPr>
          <w:b/>
          <w:i/>
          <w:sz w:val="24"/>
          <w:szCs w:val="24"/>
        </w:rPr>
        <w:t>nº 10.101/00</w:t>
      </w:r>
      <w:r>
        <w:rPr>
          <w:b/>
          <w:i/>
          <w:sz w:val="24"/>
          <w:szCs w:val="24"/>
        </w:rPr>
        <w:t xml:space="preserve">. </w:t>
      </w:r>
    </w:p>
    <w:p w:rsidR="00F37B98" w:rsidRDefault="00F37B98" w:rsidP="00F37B98">
      <w:pPr>
        <w:jc w:val="both"/>
        <w:rPr>
          <w:sz w:val="24"/>
          <w:szCs w:val="24"/>
          <w:u w:val="single"/>
        </w:rPr>
      </w:pPr>
      <w:r w:rsidRPr="0046798C">
        <w:rPr>
          <w:sz w:val="24"/>
          <w:szCs w:val="24"/>
        </w:rPr>
        <w:t>Nos termos</w:t>
      </w:r>
      <w:r>
        <w:rPr>
          <w:sz w:val="24"/>
          <w:szCs w:val="24"/>
        </w:rPr>
        <w:t xml:space="preserve"> do art. 6º-A da Lei nº 10.101/00, conforme alteração introduzida pela Lei nº 11.603/07, o trabalho no comércio em geral em feriados é possível tão somente mediante autorização firmada em convenção coletiva de trabalho, ou seja, negociação ajustada entre os sindicatos representativos das categorias econômica e profissional. Trata-se de dispositivo de interpretação restritiva que, fundada no princípio da proteção ao trabalho, não pode ser alargada para abarcar as autorizações concedidas em sede de acordo coletivo. Assim, a SDC, por unanimidade, deu provimento ao recurso ordinário do Sindicato do Comércio Varejista de Itapetininga para, julgando parcialmente procedente a ação anulatória, declarar a nulidade </w:t>
      </w:r>
      <w:r w:rsidRPr="00EB63F6">
        <w:rPr>
          <w:sz w:val="24"/>
          <w:szCs w:val="24"/>
        </w:rPr>
        <w:t xml:space="preserve">da cláusula quadragésima quarta (calendário de funcionamento </w:t>
      </w:r>
      <w:r>
        <w:rPr>
          <w:sz w:val="24"/>
          <w:szCs w:val="24"/>
        </w:rPr>
        <w:t>do comércio em datas especiais)</w:t>
      </w:r>
      <w:r w:rsidRPr="00EB63F6">
        <w:rPr>
          <w:sz w:val="24"/>
          <w:szCs w:val="24"/>
        </w:rPr>
        <w:t xml:space="preserve"> do ACT 2009/2010, firmado entre o </w:t>
      </w:r>
      <w:r>
        <w:rPr>
          <w:sz w:val="24"/>
          <w:szCs w:val="24"/>
        </w:rPr>
        <w:t xml:space="preserve">réu </w:t>
      </w:r>
      <w:r w:rsidRPr="00EB63F6">
        <w:rPr>
          <w:sz w:val="24"/>
          <w:szCs w:val="24"/>
        </w:rPr>
        <w:t>e a empresa Arthur Lundgren T</w:t>
      </w:r>
      <w:r>
        <w:rPr>
          <w:sz w:val="24"/>
          <w:szCs w:val="24"/>
        </w:rPr>
        <w:t>ecidos S.A. - Casas Pernambucanas</w:t>
      </w:r>
      <w:r w:rsidRPr="00EB63F6">
        <w:rPr>
          <w:sz w:val="24"/>
          <w:szCs w:val="24"/>
        </w:rPr>
        <w:t xml:space="preserve">, e da cláusula quadragésima terceira (calendário de funcionamento do comércio em datas especiais) do ACT 2009/2010, firmado entre o </w:t>
      </w:r>
      <w:r>
        <w:rPr>
          <w:sz w:val="24"/>
          <w:szCs w:val="24"/>
        </w:rPr>
        <w:t>réu</w:t>
      </w:r>
      <w:r w:rsidRPr="00EB63F6">
        <w:rPr>
          <w:sz w:val="24"/>
          <w:szCs w:val="24"/>
        </w:rPr>
        <w:t xml:space="preserve"> e a empresa Cofesa - Comercial Ferreira Santos Ltda. </w:t>
      </w:r>
      <w:hyperlink r:id="rId9" w:history="1">
        <w:r w:rsidRPr="00D54A34">
          <w:rPr>
            <w:rStyle w:val="Hyperlink"/>
            <w:sz w:val="24"/>
            <w:szCs w:val="24"/>
          </w:rPr>
          <w:t>TST-RO-13955-13.2010.5.15.0000</w:t>
        </w:r>
      </w:hyperlink>
      <w:r w:rsidRPr="00AC1956">
        <w:rPr>
          <w:sz w:val="24"/>
          <w:szCs w:val="24"/>
          <w:u w:val="single"/>
        </w:rPr>
        <w:t>,</w:t>
      </w:r>
      <w:r w:rsidRPr="000419B4">
        <w:rPr>
          <w:sz w:val="24"/>
          <w:szCs w:val="24"/>
          <w:u w:val="single"/>
        </w:rPr>
        <w:t xml:space="preserve"> SDC, rel. Min.</w:t>
      </w:r>
      <w:r>
        <w:rPr>
          <w:sz w:val="24"/>
          <w:szCs w:val="24"/>
          <w:u w:val="single"/>
        </w:rPr>
        <w:t xml:space="preserve"> Kátia Magalhães Arruda</w:t>
      </w:r>
      <w:r w:rsidRPr="000419B4">
        <w:rPr>
          <w:sz w:val="24"/>
          <w:szCs w:val="24"/>
          <w:u w:val="single"/>
        </w:rPr>
        <w:t>, 1</w:t>
      </w:r>
      <w:r>
        <w:rPr>
          <w:sz w:val="24"/>
          <w:szCs w:val="24"/>
          <w:u w:val="single"/>
        </w:rPr>
        <w:t>3</w:t>
      </w:r>
      <w:r w:rsidRPr="000419B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8</w:t>
      </w:r>
      <w:r w:rsidRPr="000419B4">
        <w:rPr>
          <w:sz w:val="24"/>
          <w:szCs w:val="24"/>
          <w:u w:val="single"/>
        </w:rPr>
        <w:t>.2012</w:t>
      </w:r>
    </w:p>
    <w:p w:rsidR="00D54A34" w:rsidRPr="00D54A34" w:rsidRDefault="00D54A34" w:rsidP="00F37B98">
      <w:pPr>
        <w:jc w:val="both"/>
        <w:rPr>
          <w:u w:val="single"/>
        </w:rPr>
      </w:pPr>
    </w:p>
    <w:p w:rsidR="00D54A34" w:rsidRPr="00D54A34" w:rsidRDefault="00D54A34" w:rsidP="00D54A34">
      <w:pPr>
        <w:jc w:val="both"/>
        <w:rPr>
          <w:b/>
          <w:i/>
          <w:sz w:val="24"/>
          <w:szCs w:val="24"/>
        </w:rPr>
      </w:pPr>
      <w:r w:rsidRPr="00D54A34">
        <w:rPr>
          <w:b/>
          <w:i/>
          <w:sz w:val="24"/>
          <w:szCs w:val="24"/>
        </w:rPr>
        <w:t xml:space="preserve">Ação anulatória. Acordo coletivo de trabalho que contém norma menos favorável que aquela prevista em convenção coletiva vigente no mesmo período. Art. 620 da CLT. Nulidade afastada. </w:t>
      </w:r>
    </w:p>
    <w:p w:rsidR="00D54A34" w:rsidRPr="00D54A34" w:rsidRDefault="00D54A34" w:rsidP="00D54A34">
      <w:pPr>
        <w:pStyle w:val="Corpo"/>
        <w:spacing w:line="240" w:lineRule="auto"/>
        <w:ind w:firstLine="0"/>
        <w:rPr>
          <w:rFonts w:ascii="Times New Roman" w:hAnsi="Times New Roman"/>
        </w:rPr>
      </w:pPr>
      <w:r w:rsidRPr="00D54A34">
        <w:rPr>
          <w:rFonts w:ascii="Times New Roman" w:eastAsia="Calibri" w:hAnsi="Times New Roman" w:cs="Times New Roman"/>
          <w:color w:val="auto"/>
          <w:lang w:val="pt-BR" w:eastAsia="en-US"/>
        </w:rPr>
        <w:t xml:space="preserve">O confronto entre duas cláusulas dispondo sobre a mesma vantagem constante tanto de acordo quanto de convenção coletiva vigentes no mesmo período não enseja a anulação da norma menos favorável, mas apenas a sua inaplicabilidade ao caso concreto, </w:t>
      </w:r>
      <w:r w:rsidRPr="00D54A34">
        <w:rPr>
          <w:rFonts w:ascii="Times New Roman" w:hAnsi="Times New Roman"/>
          <w:bCs/>
          <w:iCs/>
          <w:lang w:val="pt-BR"/>
        </w:rPr>
        <w:t xml:space="preserve">conforme dicção do art. </w:t>
      </w:r>
      <w:r w:rsidRPr="00D54A34">
        <w:rPr>
          <w:rFonts w:ascii="Times New Roman" w:eastAsia="Calibri" w:hAnsi="Times New Roman" w:cs="Times New Roman"/>
          <w:color w:val="auto"/>
          <w:lang w:val="pt-BR" w:eastAsia="en-US"/>
        </w:rPr>
        <w:t xml:space="preserve">620 da CLT. O reconhecimento de que a convenção coletiva deve ser aplicada em detrimento do acordo coletivo, quando aquela for mais favorável, não implica </w:t>
      </w:r>
      <w:r w:rsidR="00E708F0">
        <w:rPr>
          <w:rFonts w:ascii="Times New Roman" w:eastAsia="Calibri" w:hAnsi="Times New Roman" w:cs="Times New Roman"/>
          <w:color w:val="auto"/>
          <w:lang w:val="pt-BR" w:eastAsia="en-US"/>
        </w:rPr>
        <w:t xml:space="preserve">a declaração </w:t>
      </w:r>
      <w:r w:rsidRPr="00D54A34">
        <w:rPr>
          <w:rFonts w:ascii="Times New Roman" w:eastAsia="Calibri" w:hAnsi="Times New Roman" w:cs="Times New Roman"/>
          <w:color w:val="auto"/>
          <w:lang w:val="pt-BR" w:eastAsia="en-US"/>
        </w:rPr>
        <w:t xml:space="preserve">da nulidade do acordo, pois, para tanto, seria necessária a constatação de irregularidades de ordem formal ou material a afrontar o ordenamento jurídico. </w:t>
      </w:r>
      <w:r w:rsidRPr="00D54A34">
        <w:rPr>
          <w:rFonts w:ascii="Times New Roman" w:hAnsi="Times New Roman"/>
          <w:lang w:val="pt-BR"/>
        </w:rPr>
        <w:t>Com esse entendimento, a SDC, por unanimidade</w:t>
      </w:r>
      <w:r w:rsidRPr="00D54A34">
        <w:rPr>
          <w:rFonts w:ascii="Times New Roman" w:eastAsia="Calibri" w:hAnsi="Times New Roman" w:cs="Times New Roman"/>
          <w:color w:val="auto"/>
          <w:lang w:val="pt-BR" w:eastAsia="en-US"/>
        </w:rPr>
        <w:t xml:space="preserve">, deu provimento ao recurso ordinário para, afastando a nulidade das cláusulas terceiras dos acordos coletivos 2007/2008 </w:t>
      </w:r>
      <w:r w:rsidRPr="00D54A34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e 2008/2009, firmados entre os réus, julgar improcedente a ação anulatória. Entendeu-se, outrossim, que a improcedência da presente ação não interfere na pretensão de aplicação da norma mais favorável aos empregados, a qual deve ser  discutida em ação judicial própria. </w:t>
      </w:r>
      <w:hyperlink r:id="rId10" w:history="1">
        <w:r w:rsidRPr="00D54A34">
          <w:rPr>
            <w:rStyle w:val="Hyperlink"/>
            <w:rFonts w:ascii="Times New Roman" w:hAnsi="Times New Roman" w:cs="Courier New"/>
            <w:lang w:val="pt-BR"/>
          </w:rPr>
          <w:t>TST-RO-2643-24.2010.5.12.0000</w:t>
        </w:r>
      </w:hyperlink>
      <w:r w:rsidRPr="00D54A34">
        <w:rPr>
          <w:rFonts w:ascii="Times New Roman" w:hAnsi="Times New Roman"/>
          <w:u w:val="single"/>
          <w:lang w:val="pt-BR"/>
        </w:rPr>
        <w:t xml:space="preserve">, SDC, rel. </w:t>
      </w:r>
      <w:r w:rsidRPr="00D54A34">
        <w:rPr>
          <w:rFonts w:ascii="Times New Roman" w:hAnsi="Times New Roman"/>
          <w:u w:val="single"/>
        </w:rPr>
        <w:t>Min. Kátia Magalhães Arruda</w:t>
      </w:r>
      <w:r>
        <w:rPr>
          <w:rFonts w:ascii="Times New Roman" w:hAnsi="Times New Roman"/>
          <w:u w:val="single"/>
        </w:rPr>
        <w:t>,13.</w:t>
      </w:r>
      <w:r w:rsidRPr="00D54A34">
        <w:rPr>
          <w:rFonts w:ascii="Times New Roman" w:hAnsi="Times New Roman"/>
          <w:u w:val="single"/>
        </w:rPr>
        <w:t>8.2012</w:t>
      </w:r>
    </w:p>
    <w:p w:rsidR="00C71A3B" w:rsidRPr="00D54A34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9359D2" w:rsidRPr="009359D2" w:rsidRDefault="009359D2" w:rsidP="009359D2">
      <w:pPr>
        <w:pStyle w:val="Corpo"/>
        <w:spacing w:line="240" w:lineRule="auto"/>
        <w:ind w:firstLine="0"/>
        <w:rPr>
          <w:rFonts w:ascii="Times New Roman" w:hAnsi="Times New Roman"/>
          <w:b/>
          <w:bCs/>
          <w:i/>
          <w:iCs/>
          <w:lang w:val="pt-BR"/>
        </w:rPr>
      </w:pPr>
      <w:r w:rsidRPr="009359D2">
        <w:rPr>
          <w:rFonts w:ascii="Times New Roman" w:hAnsi="Times New Roman"/>
          <w:b/>
          <w:bCs/>
          <w:i/>
          <w:iCs/>
          <w:lang w:val="pt-BR"/>
        </w:rPr>
        <w:t>Estabilidade. Art. 19 do ADCT. Contagem do quinquênio aquisitivo. Tempo de serviço prestado a sociedade de economia mista. Impossibilidade.</w:t>
      </w:r>
    </w:p>
    <w:p w:rsidR="009359D2" w:rsidRDefault="009359D2" w:rsidP="009359D2">
      <w:pPr>
        <w:pStyle w:val="Ementa"/>
        <w:ind w:left="0"/>
        <w:rPr>
          <w:rFonts w:ascii="Times New Roman" w:hAnsi="Times New Roman"/>
          <w:bCs/>
          <w:iCs/>
          <w:color w:val="auto"/>
          <w:u w:val="single"/>
          <w:lang w:val="pt-BR"/>
        </w:rPr>
      </w:pPr>
      <w:r w:rsidRPr="009359D2">
        <w:rPr>
          <w:rFonts w:ascii="Times New Roman" w:hAnsi="Times New Roman"/>
          <w:bCs/>
          <w:iCs/>
          <w:color w:val="auto"/>
          <w:lang w:val="pt-BR"/>
        </w:rPr>
        <w:t xml:space="preserve">A estabilidade prevista no art. 19 do ADCT pressupõe a prestação de serviço por cinco anos continuados a entes da Administração pública direta, autárquica e fundacional, não aproveitando o tempo prestado a órgãos de esferas político-administrativas distintas. Com esse entendimento, a SBDI-I, por unanimidade, conheceu dos embargos por violação do art. 19 do ADCT e, no mérito, deu-lhes provimento para restabelecer a sentença em que se julgou improcedente a ação em que o reclamante pleiteava o direito à estabilidade tendo em conta o tempo de serviço prestado à Companhia de Construções Escolares do Estado de São Paulo (Conesp), sociedade de economia mista. Na espécie, o Ministro relator, conferindo novo enquadramento jurídico aos fatos registrados pela Turma, ressaltou que a premissa fática explicitada na decisão embargada, no sentido de que a </w:t>
      </w:r>
      <w:r w:rsidRPr="009359D2">
        <w:rPr>
          <w:rFonts w:ascii="Times New Roman" w:hAnsi="Times New Roman"/>
          <w:color w:val="auto"/>
        </w:rPr>
        <w:t xml:space="preserve">Conesp </w:t>
      </w:r>
      <w:r w:rsidRPr="009359D2">
        <w:rPr>
          <w:rFonts w:ascii="Times New Roman" w:hAnsi="Times New Roman"/>
          <w:bCs/>
          <w:iCs/>
          <w:color w:val="auto"/>
          <w:lang w:val="pt-BR"/>
        </w:rPr>
        <w:t xml:space="preserve">teria a Fazenda Nacional como acionista majoritária, e, portanto, capital estatal, por si só não permitiria seu enquadramento na hipótese prevista no art. 19 do ADCT. </w:t>
      </w:r>
      <w:r w:rsidRPr="009359D2">
        <w:rPr>
          <w:rFonts w:ascii="Times New Roman" w:hAnsi="Times New Roman"/>
          <w:iCs/>
          <w:color w:val="auto"/>
          <w:lang w:val="pt-BR"/>
        </w:rPr>
        <w:t xml:space="preserve"> </w:t>
      </w:r>
      <w:hyperlink r:id="rId11" w:history="1">
        <w:r w:rsidRPr="00D54A34">
          <w:rPr>
            <w:rStyle w:val="Hyperlink"/>
            <w:rFonts w:ascii="Times New Roman" w:hAnsi="Times New Roman" w:cs="Courier New"/>
            <w:bCs/>
            <w:iCs/>
            <w:lang w:val="pt-BR"/>
          </w:rPr>
          <w:t>TST-EEDRR 5644100-72.2002.5.02.0900</w:t>
        </w:r>
      </w:hyperlink>
      <w:r w:rsidRPr="009359D2">
        <w:rPr>
          <w:rFonts w:ascii="Times New Roman" w:hAnsi="Times New Roman"/>
          <w:bCs/>
          <w:iCs/>
          <w:color w:val="auto"/>
          <w:u w:val="single"/>
          <w:lang w:val="pt-BR"/>
        </w:rPr>
        <w:t>, SBDI-I, rel. Min. José Roberto Freire Pimenta, 9.8.2012</w:t>
      </w:r>
    </w:p>
    <w:p w:rsidR="009359D2" w:rsidRPr="00D54A34" w:rsidRDefault="009359D2" w:rsidP="009359D2">
      <w:pPr>
        <w:pStyle w:val="Ementa"/>
        <w:ind w:left="0"/>
        <w:rPr>
          <w:rFonts w:ascii="Times New Roman" w:hAnsi="Times New Roman"/>
          <w:bCs/>
          <w:iCs/>
          <w:color w:val="auto"/>
          <w:sz w:val="20"/>
          <w:szCs w:val="20"/>
          <w:u w:val="single"/>
          <w:lang w:val="pt-BR"/>
        </w:rPr>
      </w:pPr>
    </w:p>
    <w:p w:rsidR="009359D2" w:rsidRPr="009359D2" w:rsidRDefault="009359D2" w:rsidP="009359D2">
      <w:pPr>
        <w:jc w:val="both"/>
        <w:rPr>
          <w:b/>
          <w:i/>
          <w:sz w:val="24"/>
          <w:szCs w:val="24"/>
        </w:rPr>
      </w:pPr>
      <w:r w:rsidRPr="009359D2">
        <w:rPr>
          <w:b/>
          <w:i/>
          <w:sz w:val="24"/>
          <w:szCs w:val="24"/>
        </w:rPr>
        <w:t>Bancário. Gerente geral. Presunção relativa. Ausência de poderes de mando e gestão. Horas extras. Devidas.</w:t>
      </w:r>
    </w:p>
    <w:p w:rsidR="009359D2" w:rsidRPr="009359D2" w:rsidRDefault="009359D2" w:rsidP="009359D2">
      <w:pPr>
        <w:jc w:val="both"/>
        <w:rPr>
          <w:sz w:val="24"/>
          <w:szCs w:val="24"/>
          <w:u w:val="single"/>
        </w:rPr>
      </w:pPr>
      <w:r w:rsidRPr="009359D2">
        <w:rPr>
          <w:sz w:val="24"/>
          <w:szCs w:val="24"/>
        </w:rPr>
        <w:t xml:space="preserve">Levando-se em conta ser relativa a presunção de que trata a Súmula nº 287 do TST, tem-se que o gerente geral de agência bancária faz jus ao recebimento de horas extraordinárias quando a prova carreada aos autos revele a ausência total de poderes de mando e gestão. Com esse entendimento, a SBDI-I, por maioria, não conheceu dos embargos, mantendo a decisão turmária que afastou a incidência do inciso II do art. 62 da CLT e a contrariedade à Súmula n.º 287 do TST, porquanto a prova produzida perante o TRT registrou de forma expressa que o reclamante, conquanto denominado gerente geral de agência, não detinha poderes de mando e gestão ou “grau de fidúcia distinto daquele inerente a qualquer contrato de trabalho”, estando, inclusive, subordinado à “autorização para se ausentar do serviço”, a evidenciar a existência de controle de jornada. Vencidos os Ministros Brito Pereira, Maria Cristina Peduzzi e Ives Gandra Martins Filho. </w:t>
      </w:r>
      <w:hyperlink r:id="rId12" w:history="1">
        <w:r w:rsidRPr="00D54A34">
          <w:rPr>
            <w:rStyle w:val="Hyperlink"/>
            <w:sz w:val="24"/>
            <w:szCs w:val="24"/>
          </w:rPr>
          <w:t>TST-E-RR-114740-98.2005.5.13.0004</w:t>
        </w:r>
      </w:hyperlink>
      <w:r w:rsidRPr="009359D2">
        <w:rPr>
          <w:sz w:val="24"/>
          <w:szCs w:val="24"/>
          <w:u w:val="single"/>
        </w:rPr>
        <w:t xml:space="preserve">, SBDI-I, rel. Min. </w:t>
      </w:r>
      <w:r w:rsidR="00D54A34">
        <w:rPr>
          <w:sz w:val="24"/>
          <w:szCs w:val="24"/>
          <w:u w:val="single"/>
        </w:rPr>
        <w:t xml:space="preserve">Luiz Philippe </w:t>
      </w:r>
      <w:r w:rsidRPr="009359D2">
        <w:rPr>
          <w:sz w:val="24"/>
          <w:szCs w:val="24"/>
          <w:u w:val="single"/>
        </w:rPr>
        <w:t xml:space="preserve">Vieira de Mello Filho, </w:t>
      </w:r>
      <w:r w:rsidR="00D54A34">
        <w:rPr>
          <w:sz w:val="24"/>
          <w:szCs w:val="24"/>
          <w:u w:val="single"/>
        </w:rPr>
        <w:t>9</w:t>
      </w:r>
      <w:r w:rsidRPr="009359D2">
        <w:rPr>
          <w:sz w:val="24"/>
          <w:szCs w:val="24"/>
          <w:u w:val="single"/>
        </w:rPr>
        <w:t>.8.2012</w:t>
      </w:r>
    </w:p>
    <w:p w:rsidR="009359D2" w:rsidRPr="00D54A34" w:rsidRDefault="009359D2" w:rsidP="009359D2">
      <w:pPr>
        <w:pStyle w:val="Ementa"/>
        <w:ind w:left="0"/>
        <w:rPr>
          <w:rFonts w:ascii="Times New Roman" w:hAnsi="Times New Roman"/>
          <w:bCs/>
          <w:iCs/>
          <w:color w:val="auto"/>
          <w:sz w:val="20"/>
          <w:szCs w:val="20"/>
          <w:u w:val="single"/>
          <w:lang w:val="pt-BR"/>
        </w:rPr>
      </w:pPr>
    </w:p>
    <w:p w:rsidR="009359D2" w:rsidRDefault="009359D2" w:rsidP="009359D2">
      <w:pPr>
        <w:jc w:val="both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>Revista impessoal e indiscriminada de bolsas dos empregados.</w:t>
      </w:r>
      <w:r w:rsidRPr="003D032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Dano moral. Não configuração. Indenização indevida.</w:t>
      </w:r>
    </w:p>
    <w:p w:rsidR="009359D2" w:rsidRDefault="009359D2" w:rsidP="009359D2">
      <w:pPr>
        <w:jc w:val="both"/>
        <w:rPr>
          <w:b/>
          <w:i/>
          <w:sz w:val="32"/>
          <w:szCs w:val="32"/>
        </w:rPr>
      </w:pPr>
      <w:r>
        <w:rPr>
          <w:sz w:val="24"/>
          <w:szCs w:val="24"/>
        </w:rPr>
        <w:t>A inspeção de bolsas, sacolas e outros pertences de empregados, desde que realizada de maneira generalizada e sem a adoção de qualquer procedimento que denote abuso do direto do empregador de zelar pelo próprio patrimônio, é lícita, pois não importa em ofensa à intimidade, à vida privada, à honra ou à imagem dos trabalhadores. Na espécie, não obstante a revista em bolsa da reclamante, muitas vezes, fosse realizada por seguranças do sexo masculino, restou consignada a inexistência de contato físico, e que a inspeção era impessoal, englobando todos os empregados, não se podendo presumir, portanto, dano ou abalo moral apto a ensejar o pagamento de indenização. Com esse entendimento, a SBDI-I, por unanimidade, conheceu dos embargos por divergência jurisprudencial e, no mérito, por maioria, negou-lhes provimento. Vencidos os Ministros José Roberto Freire Pimenta, que não admitia revista masculina em bolsa feminina, e Augusto César Leite de Carvalho e Delaide Miranda Arantes, que não admitiam qualquer revista.</w:t>
      </w:r>
      <w:r w:rsidR="00D54A34">
        <w:rPr>
          <w:sz w:val="24"/>
          <w:szCs w:val="24"/>
        </w:rPr>
        <w:t xml:space="preserve"> </w:t>
      </w:r>
      <w:hyperlink r:id="rId13" w:history="1">
        <w:r w:rsidRPr="00D54A34">
          <w:rPr>
            <w:rStyle w:val="Hyperlink"/>
            <w:sz w:val="24"/>
            <w:szCs w:val="24"/>
          </w:rPr>
          <w:t>TST-E-ED-RR-477040-40.2001.5.09.0015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3D032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Renato de Lacerda Paiva, 9.8.2012</w:t>
      </w:r>
    </w:p>
    <w:p w:rsidR="009359D2" w:rsidRDefault="00BA6784" w:rsidP="00BA6784">
      <w:pPr>
        <w:ind w:right="-71"/>
        <w:jc w:val="both"/>
        <w:rPr>
          <w:b/>
          <w:i/>
          <w:sz w:val="24"/>
          <w:szCs w:val="24"/>
        </w:rPr>
      </w:pPr>
      <w:r>
        <w:br w:type="page"/>
      </w:r>
      <w:r w:rsidR="009359D2">
        <w:rPr>
          <w:b/>
          <w:i/>
          <w:sz w:val="24"/>
          <w:szCs w:val="24"/>
        </w:rPr>
        <w:lastRenderedPageBreak/>
        <w:t xml:space="preserve">Imposto de Renda. </w:t>
      </w:r>
      <w:r w:rsidR="009359D2" w:rsidRPr="003D032E">
        <w:rPr>
          <w:b/>
          <w:i/>
          <w:sz w:val="24"/>
          <w:szCs w:val="24"/>
        </w:rPr>
        <w:t xml:space="preserve">Indenização por danos morais. </w:t>
      </w:r>
      <w:r w:rsidR="009359D2">
        <w:rPr>
          <w:b/>
          <w:i/>
          <w:sz w:val="24"/>
          <w:szCs w:val="24"/>
        </w:rPr>
        <w:t>Não incidência. Art. 46, § 1º, I, da Lei n.º 8.541/92. Má aplicação da Súmula n.º 368, II, do TST.</w:t>
      </w:r>
    </w:p>
    <w:p w:rsidR="009359D2" w:rsidRDefault="009359D2" w:rsidP="009359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 base no art. </w:t>
      </w:r>
      <w:r w:rsidRPr="005D7264">
        <w:rPr>
          <w:sz w:val="24"/>
          <w:szCs w:val="24"/>
        </w:rPr>
        <w:t>46, § 1º, I, da Lei n.º 8.541/92</w:t>
      </w:r>
      <w:r w:rsidRPr="003D03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evidencia a impossibilidade de se enquadrarem no conceito de “rendimento”, a que alude o art. 43, I, do CTN, os valores auferidos a título de indenização por danos morais, visto não resultarem do capital ou do trabalho, </w:t>
      </w:r>
      <w:r w:rsidRPr="003D032E">
        <w:rPr>
          <w:sz w:val="24"/>
          <w:szCs w:val="24"/>
        </w:rPr>
        <w:t>decidiu a SBDI-</w:t>
      </w:r>
      <w:r>
        <w:rPr>
          <w:sz w:val="24"/>
          <w:szCs w:val="24"/>
        </w:rPr>
        <w:t>I,</w:t>
      </w:r>
      <w:r w:rsidRPr="003D032E">
        <w:rPr>
          <w:sz w:val="24"/>
          <w:szCs w:val="24"/>
        </w:rPr>
        <w:t xml:space="preserve"> </w:t>
      </w:r>
      <w:r w:rsidRPr="005D7264">
        <w:rPr>
          <w:sz w:val="24"/>
          <w:szCs w:val="24"/>
        </w:rPr>
        <w:t>por maioria, vencidos os Ministros Dora Maria da Costa e Brito Pereira, conhecer do recurso de embargos por má-aplicação da Súmula n</w:t>
      </w:r>
      <w:r>
        <w:rPr>
          <w:sz w:val="24"/>
          <w:szCs w:val="24"/>
        </w:rPr>
        <w:t>.</w:t>
      </w:r>
      <w:r w:rsidRPr="005D7264">
        <w:rPr>
          <w:sz w:val="24"/>
          <w:szCs w:val="24"/>
        </w:rPr>
        <w:t xml:space="preserve">º 368, </w:t>
      </w:r>
      <w:r>
        <w:rPr>
          <w:sz w:val="24"/>
          <w:szCs w:val="24"/>
        </w:rPr>
        <w:t>II</w:t>
      </w:r>
      <w:r w:rsidRPr="005D7264">
        <w:rPr>
          <w:sz w:val="24"/>
          <w:szCs w:val="24"/>
        </w:rPr>
        <w:t xml:space="preserve">, </w:t>
      </w:r>
      <w:r>
        <w:rPr>
          <w:sz w:val="24"/>
          <w:szCs w:val="24"/>
        </w:rPr>
        <w:t>do TST</w:t>
      </w:r>
      <w:r w:rsidRPr="005D7264">
        <w:rPr>
          <w:sz w:val="24"/>
          <w:szCs w:val="24"/>
        </w:rPr>
        <w:t xml:space="preserve"> e, no mérito, ainda por maioria, dar-lhe provimento para excluir a incidência do imposto de renda sobre a indenização por danos morais, vencidos</w:t>
      </w:r>
      <w:r>
        <w:rPr>
          <w:sz w:val="24"/>
          <w:szCs w:val="24"/>
        </w:rPr>
        <w:t>,</w:t>
      </w:r>
      <w:r w:rsidRPr="005D7264">
        <w:rPr>
          <w:sz w:val="24"/>
          <w:szCs w:val="24"/>
        </w:rPr>
        <w:t xml:space="preserve"> em parte</w:t>
      </w:r>
      <w:r>
        <w:rPr>
          <w:sz w:val="24"/>
          <w:szCs w:val="24"/>
        </w:rPr>
        <w:t>,</w:t>
      </w:r>
      <w:r w:rsidRPr="005D7264">
        <w:rPr>
          <w:sz w:val="24"/>
          <w:szCs w:val="24"/>
        </w:rPr>
        <w:t xml:space="preserve"> os Ministros Renato de Lacerda Paiva, Aloysio Corrêa da Veiga e Alberto Luiz Bresciani de Fontan Pereira.</w:t>
      </w:r>
      <w:r w:rsidRPr="003D032E">
        <w:rPr>
          <w:sz w:val="24"/>
          <w:szCs w:val="24"/>
        </w:rPr>
        <w:t xml:space="preserve"> </w:t>
      </w:r>
      <w:hyperlink r:id="rId14" w:history="1">
        <w:r w:rsidRPr="00D54A34">
          <w:rPr>
            <w:rStyle w:val="Hyperlink"/>
            <w:sz w:val="24"/>
            <w:szCs w:val="24"/>
          </w:rPr>
          <w:t>TST-E-RR-75300-94.2007.5.03.0104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3D032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Lelio Bentes Corrêa, 9.8.2012</w:t>
      </w:r>
    </w:p>
    <w:p w:rsidR="00BA6784" w:rsidRPr="00BA6784" w:rsidRDefault="00BA6784" w:rsidP="009359D2">
      <w:pPr>
        <w:jc w:val="both"/>
        <w:rPr>
          <w:sz w:val="10"/>
          <w:szCs w:val="10"/>
          <w:u w:val="single"/>
        </w:rPr>
      </w:pPr>
    </w:p>
    <w:p w:rsidR="00BA6784" w:rsidRDefault="00BA6784" w:rsidP="00BA6784">
      <w:pPr>
        <w:jc w:val="both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>Recurso interposto antes da publicação da decisão recorrida. Inexistência. Segundo recurso interposto no momento processual oportuno. Princípio da unirrecorribilidade. Não incidência.</w:t>
      </w:r>
    </w:p>
    <w:p w:rsidR="00BA6784" w:rsidRDefault="00BA6784" w:rsidP="00BA6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recurso interposto antes da publicação da decisão recorrida é inexistente, não se podendo utilizar o princípio da unirrecorribilidade para impedir o conhecimento do recurso interposto no momento processual oportuno. Com esse entendimento, a SBDI-I, pelo voto prevalente da Presidência, </w:t>
      </w:r>
      <w:r w:rsidRPr="00E613BC">
        <w:rPr>
          <w:sz w:val="24"/>
          <w:szCs w:val="24"/>
        </w:rPr>
        <w:t>conhece</w:t>
      </w:r>
      <w:r>
        <w:rPr>
          <w:sz w:val="24"/>
          <w:szCs w:val="24"/>
        </w:rPr>
        <w:t xml:space="preserve">u </w:t>
      </w:r>
      <w:r w:rsidRPr="00E613BC">
        <w:rPr>
          <w:sz w:val="24"/>
          <w:szCs w:val="24"/>
        </w:rPr>
        <w:t xml:space="preserve">dos embargos por divergência </w:t>
      </w:r>
      <w:r>
        <w:rPr>
          <w:sz w:val="24"/>
          <w:szCs w:val="24"/>
        </w:rPr>
        <w:t>jurisprudencial e, no mérito, deu</w:t>
      </w:r>
      <w:r w:rsidRPr="00E613BC">
        <w:rPr>
          <w:sz w:val="24"/>
          <w:szCs w:val="24"/>
        </w:rPr>
        <w:t>-lhe</w:t>
      </w:r>
      <w:r>
        <w:rPr>
          <w:sz w:val="24"/>
          <w:szCs w:val="24"/>
        </w:rPr>
        <w:t>s</w:t>
      </w:r>
      <w:r w:rsidRPr="00E613BC">
        <w:rPr>
          <w:sz w:val="24"/>
          <w:szCs w:val="24"/>
        </w:rPr>
        <w:t xml:space="preserve"> provimento para, reformando o acórdão embargado, determinar o retorno dos autos à Turma de origem a fim de que, afastada a intempestividade, prossiga no julgamento do </w:t>
      </w:r>
      <w:r>
        <w:rPr>
          <w:sz w:val="24"/>
          <w:szCs w:val="24"/>
        </w:rPr>
        <w:t xml:space="preserve">recurso de revista. Vencidos os Ministros </w:t>
      </w:r>
      <w:r w:rsidRPr="00E613BC">
        <w:rPr>
          <w:sz w:val="24"/>
          <w:szCs w:val="24"/>
        </w:rPr>
        <w:t>Augusto Cé</w:t>
      </w:r>
      <w:r>
        <w:rPr>
          <w:sz w:val="24"/>
          <w:szCs w:val="24"/>
        </w:rPr>
        <w:t>sar Leite de Carvalho, relator, Ives G</w:t>
      </w:r>
      <w:r w:rsidRPr="00E613BC">
        <w:rPr>
          <w:sz w:val="24"/>
          <w:szCs w:val="24"/>
        </w:rPr>
        <w:t>andra Martins Filho, Brito Pereira, Renato de Lacerda Paiva, Alberto Luiz Bresciani de Fontan Pereira e Delaíde Miranda Arantes</w:t>
      </w:r>
      <w:r>
        <w:rPr>
          <w:sz w:val="24"/>
          <w:szCs w:val="24"/>
        </w:rPr>
        <w:t xml:space="preserve">. Na hipótese, a Turma não conheceu da primeira revista, nos termos da Orientação Jurisprudencial nº 357 da SBDI-I, e deixou de analisar o segundo recurso ao fundamento de que a parte não interpôs agravo de instrumento da decisão do TRT que não admitiu o seu processamento. Ressaltou-se a ilegalidade do procedimento do juízo de admissibilidade do Regional que, desatendendo ao requerimento da parte para que o recurso inicialmente interposto fosse desconsiderado em face da sua prematuridade, admitiu o primeiro recurso e denegou o segundo, com fundamento no princípio da unirrecorribilidade, trazendo manifesto prejuízo à recorrente. </w:t>
      </w:r>
      <w:hyperlink r:id="rId15" w:history="1">
        <w:r w:rsidRPr="00D9785F">
          <w:rPr>
            <w:rStyle w:val="Hyperlink"/>
            <w:sz w:val="24"/>
            <w:szCs w:val="24"/>
          </w:rPr>
          <w:t>TST-E-ED-RR-9951600-38.2005.5.09.0095</w:t>
        </w:r>
      </w:hyperlink>
      <w:r>
        <w:rPr>
          <w:sz w:val="24"/>
          <w:szCs w:val="24"/>
          <w:u w:val="single"/>
        </w:rPr>
        <w:t xml:space="preserve">, SBDI-I, rel. Min. </w:t>
      </w:r>
      <w:r w:rsidRPr="00753FD1">
        <w:rPr>
          <w:sz w:val="24"/>
          <w:szCs w:val="24"/>
          <w:u w:val="single"/>
        </w:rPr>
        <w:t>Augusto César Leite de Carvalho, red. p/ acórdão Min. L</w:t>
      </w:r>
      <w:r>
        <w:rPr>
          <w:sz w:val="24"/>
          <w:szCs w:val="24"/>
          <w:u w:val="single"/>
        </w:rPr>
        <w:t>e</w:t>
      </w:r>
      <w:r w:rsidRPr="00753FD1">
        <w:rPr>
          <w:sz w:val="24"/>
          <w:szCs w:val="24"/>
          <w:u w:val="single"/>
        </w:rPr>
        <w:t>lio Bentes Corrêa, 9.8.2012</w:t>
      </w:r>
    </w:p>
    <w:p w:rsidR="00D54A34" w:rsidRPr="00D54A34" w:rsidRDefault="00D54A34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9359D2" w:rsidRDefault="009359D2" w:rsidP="009359D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AR. Bancário. Gerente de negócios. Configuração. Art. 224, § 2º, da CLT e Súmula nº 287 do TST. Pagamento de horas extras apenas a partir da 8ª diária.</w:t>
      </w:r>
    </w:p>
    <w:p w:rsidR="009359D2" w:rsidRPr="005D3687" w:rsidRDefault="009359D2" w:rsidP="009359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Tendo em conta que em qualquer atividade empresarial de médio ou grande porte há divisões e subdivisões, cabendo a cada seguimento, conforme a estrutura, o cumprimento de determinadas funções atreladas ao seu setor, não desnatura o exercício do cargo de gerente de negócios o fato de o reclamante bancário </w:t>
      </w:r>
      <w:r w:rsidRPr="007C7F8D">
        <w:rPr>
          <w:sz w:val="24"/>
          <w:szCs w:val="24"/>
        </w:rPr>
        <w:t xml:space="preserve">ter restrições quanto a determinadas atividades, como não possuir alçada para liberação de créditos e admitir e demitir funcionários, não possuir subordinados, </w:t>
      </w:r>
      <w:r>
        <w:rPr>
          <w:sz w:val="24"/>
          <w:szCs w:val="24"/>
        </w:rPr>
        <w:t xml:space="preserve">responder </w:t>
      </w:r>
      <w:r w:rsidRPr="007C7F8D">
        <w:rPr>
          <w:sz w:val="24"/>
          <w:szCs w:val="24"/>
        </w:rPr>
        <w:t>ao gerente administrativo, assinar folha de ponto e, ainda, não assinar isoladamente</w:t>
      </w:r>
      <w:r>
        <w:rPr>
          <w:sz w:val="24"/>
          <w:szCs w:val="24"/>
        </w:rPr>
        <w:t xml:space="preserve">. A impossibilidade de realização das referidas atividades não leva à conclusão, por si só, de que o trabalhador não exerce função de confiança, principalmente quando há maior responsabilidade quanto às suas próprias atribuições e percepção de remuneração diferenciada. Ademais, na hipótese, o trabalhador participava das reuniões do comitê, integrando, de alguma forma, a cúpula gerencial do estabelecimento bancário, e era reconhecido pelos demais colegas como gerente de negócios, a atrair, portanto, a disciplina do art. 224, § 2º, da CLT e da Súmula nº 287 do TST. Assim, a SBDI-II, por unanimidade, </w:t>
      </w:r>
      <w:r w:rsidRPr="005D3687">
        <w:rPr>
          <w:sz w:val="24"/>
          <w:szCs w:val="24"/>
        </w:rPr>
        <w:t>conhece</w:t>
      </w:r>
      <w:r>
        <w:rPr>
          <w:sz w:val="24"/>
          <w:szCs w:val="24"/>
        </w:rPr>
        <w:t xml:space="preserve">u </w:t>
      </w:r>
      <w:r w:rsidRPr="005D3687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5D3687">
        <w:rPr>
          <w:sz w:val="24"/>
          <w:szCs w:val="24"/>
        </w:rPr>
        <w:t xml:space="preserve">ecurso </w:t>
      </w:r>
      <w:r>
        <w:rPr>
          <w:sz w:val="24"/>
          <w:szCs w:val="24"/>
        </w:rPr>
        <w:t>ordinário em ação r</w:t>
      </w:r>
      <w:r w:rsidRPr="005D3687">
        <w:rPr>
          <w:sz w:val="24"/>
          <w:szCs w:val="24"/>
        </w:rPr>
        <w:t>escisória e, no mérito, d</w:t>
      </w:r>
      <w:r>
        <w:rPr>
          <w:sz w:val="24"/>
          <w:szCs w:val="24"/>
        </w:rPr>
        <w:t>eu</w:t>
      </w:r>
      <w:r w:rsidRPr="005D3687">
        <w:rPr>
          <w:sz w:val="24"/>
          <w:szCs w:val="24"/>
        </w:rPr>
        <w:t>-lhe provimento para</w:t>
      </w:r>
      <w:r>
        <w:rPr>
          <w:sz w:val="24"/>
          <w:szCs w:val="24"/>
        </w:rPr>
        <w:t>,</w:t>
      </w:r>
      <w:r w:rsidRPr="005D3687">
        <w:rPr>
          <w:sz w:val="24"/>
          <w:szCs w:val="24"/>
        </w:rPr>
        <w:t xml:space="preserve"> no tocante ao enquadramento do </w:t>
      </w:r>
      <w:r>
        <w:rPr>
          <w:sz w:val="24"/>
          <w:szCs w:val="24"/>
        </w:rPr>
        <w:t>r</w:t>
      </w:r>
      <w:r w:rsidRPr="005D3687">
        <w:rPr>
          <w:sz w:val="24"/>
          <w:szCs w:val="24"/>
        </w:rPr>
        <w:t xml:space="preserve">eclamante na hipótese do </w:t>
      </w:r>
      <w:r w:rsidRPr="00627349">
        <w:rPr>
          <w:i/>
          <w:sz w:val="24"/>
          <w:szCs w:val="24"/>
        </w:rPr>
        <w:t>caput</w:t>
      </w:r>
      <w:r w:rsidRPr="005D3687">
        <w:rPr>
          <w:sz w:val="24"/>
          <w:szCs w:val="24"/>
        </w:rPr>
        <w:t xml:space="preserve"> do art. 224 da CLT</w:t>
      </w:r>
      <w:r>
        <w:rPr>
          <w:sz w:val="24"/>
          <w:szCs w:val="24"/>
        </w:rPr>
        <w:t>,</w:t>
      </w:r>
      <w:r w:rsidRPr="005D3687">
        <w:rPr>
          <w:sz w:val="24"/>
          <w:szCs w:val="24"/>
        </w:rPr>
        <w:t xml:space="preserve"> rescindir o acórdão prolatado pelo</w:t>
      </w:r>
      <w:r>
        <w:rPr>
          <w:sz w:val="24"/>
          <w:szCs w:val="24"/>
        </w:rPr>
        <w:t xml:space="preserve"> TRT nos autos de reclamação trabalhista e, e</w:t>
      </w:r>
      <w:r w:rsidRPr="005D3687">
        <w:rPr>
          <w:sz w:val="24"/>
          <w:szCs w:val="24"/>
        </w:rPr>
        <w:t>m juízo resc</w:t>
      </w:r>
      <w:r>
        <w:rPr>
          <w:sz w:val="24"/>
          <w:szCs w:val="24"/>
        </w:rPr>
        <w:t>isório, restabelecer a sentença</w:t>
      </w:r>
      <w:r w:rsidRPr="005D3687">
        <w:rPr>
          <w:sz w:val="24"/>
          <w:szCs w:val="24"/>
        </w:rPr>
        <w:t xml:space="preserve"> no que</w:t>
      </w:r>
      <w:r>
        <w:rPr>
          <w:sz w:val="24"/>
          <w:szCs w:val="24"/>
        </w:rPr>
        <w:t xml:space="preserve"> se</w:t>
      </w:r>
      <w:r w:rsidRPr="005D3687">
        <w:rPr>
          <w:sz w:val="24"/>
          <w:szCs w:val="24"/>
        </w:rPr>
        <w:t xml:space="preserve"> reconhecera a subsunção do caso concreto na hipótese </w:t>
      </w:r>
      <w:r w:rsidRPr="005D3687">
        <w:rPr>
          <w:sz w:val="24"/>
          <w:szCs w:val="24"/>
        </w:rPr>
        <w:lastRenderedPageBreak/>
        <w:t>prevista no art. 224,§ 2.º, da CLT, e, por conseguinte,</w:t>
      </w:r>
      <w:r>
        <w:rPr>
          <w:sz w:val="24"/>
          <w:szCs w:val="24"/>
        </w:rPr>
        <w:t xml:space="preserve"> se</w:t>
      </w:r>
      <w:r w:rsidRPr="005D3687">
        <w:rPr>
          <w:sz w:val="24"/>
          <w:szCs w:val="24"/>
        </w:rPr>
        <w:t xml:space="preserve"> deferira</w:t>
      </w:r>
      <w:r>
        <w:rPr>
          <w:sz w:val="24"/>
          <w:szCs w:val="24"/>
        </w:rPr>
        <w:t>m</w:t>
      </w:r>
      <w:r w:rsidRPr="005D3687">
        <w:rPr>
          <w:sz w:val="24"/>
          <w:szCs w:val="24"/>
        </w:rPr>
        <w:t xml:space="preserve"> as horas extras apenas a partir da 8.ª diária.</w:t>
      </w:r>
      <w:r w:rsidRPr="009359D2">
        <w:rPr>
          <w:sz w:val="24"/>
          <w:szCs w:val="24"/>
        </w:rPr>
        <w:t xml:space="preserve"> </w:t>
      </w:r>
      <w:hyperlink r:id="rId16" w:history="1">
        <w:r w:rsidRPr="00D54A34">
          <w:rPr>
            <w:rStyle w:val="Hyperlink"/>
            <w:sz w:val="24"/>
            <w:szCs w:val="24"/>
          </w:rPr>
          <w:t>TST-RO-1985-85.2011.5.04.0000</w:t>
        </w:r>
      </w:hyperlink>
      <w:r w:rsidRPr="009359D2">
        <w:rPr>
          <w:sz w:val="24"/>
          <w:szCs w:val="24"/>
          <w:u w:val="single"/>
        </w:rPr>
        <w:t>, SBDI-II, rel. Min. Maria de Assis Calsing. 7.8.2012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92" w:rsidRDefault="00355592">
      <w:r>
        <w:separator/>
      </w:r>
    </w:p>
  </w:endnote>
  <w:endnote w:type="continuationSeparator" w:id="0">
    <w:p w:rsidR="00355592" w:rsidRDefault="003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34" w:rsidRDefault="00D54A34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3BC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54A34" w:rsidRDefault="00D54A34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34" w:rsidRDefault="00D54A34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33BC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92" w:rsidRDefault="00355592">
      <w:r>
        <w:separator/>
      </w:r>
    </w:p>
  </w:footnote>
  <w:footnote w:type="continuationSeparator" w:id="0">
    <w:p w:rsidR="00355592" w:rsidRDefault="0035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34" w:rsidRPr="00971E07" w:rsidRDefault="00D54A34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>º 1</w:t>
    </w:r>
    <w:r>
      <w:rPr>
        <w:shadow/>
        <w:sz w:val="24"/>
        <w:szCs w:val="24"/>
      </w:rPr>
      <w:t>7</w:t>
    </w:r>
  </w:p>
  <w:p w:rsidR="00D54A34" w:rsidRPr="00971E07" w:rsidRDefault="00D54A34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>Período: 7</w:t>
    </w:r>
    <w:r w:rsidRPr="00971E07">
      <w:rPr>
        <w:sz w:val="20"/>
        <w:szCs w:val="20"/>
      </w:rPr>
      <w:t xml:space="preserve"> a </w:t>
    </w:r>
    <w:r>
      <w:rPr>
        <w:sz w:val="20"/>
        <w:szCs w:val="20"/>
      </w:rPr>
      <w:t>13</w:t>
    </w:r>
    <w:r w:rsidRPr="00971E07">
      <w:rPr>
        <w:sz w:val="20"/>
        <w:szCs w:val="20"/>
      </w:rPr>
      <w:t xml:space="preserve"> de </w:t>
    </w:r>
    <w:r>
      <w:rPr>
        <w:sz w:val="20"/>
        <w:szCs w:val="20"/>
      </w:rPr>
      <w:t>agosto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34" w:rsidRDefault="00D54A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D54A34" w:rsidRPr="002168DE" w:rsidRDefault="00D54A34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>Nº 1</w:t>
    </w:r>
    <w:r>
      <w:rPr>
        <w:b/>
        <w:sz w:val="40"/>
        <w:szCs w:val="40"/>
      </w:rPr>
      <w:t>7</w:t>
    </w:r>
  </w:p>
  <w:p w:rsidR="00D54A34" w:rsidRPr="005D1DE4" w:rsidRDefault="00D54A34">
    <w:pPr>
      <w:pStyle w:val="Cabealho"/>
      <w:jc w:val="right"/>
      <w:rPr>
        <w:i/>
        <w:iCs/>
        <w:sz w:val="10"/>
        <w:szCs w:val="10"/>
      </w:rPr>
    </w:pPr>
  </w:p>
  <w:p w:rsidR="00D54A34" w:rsidRPr="005D1DE4" w:rsidRDefault="00D54A34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7</w:t>
    </w:r>
    <w:r w:rsidRPr="005D1DE4">
      <w:rPr>
        <w:i/>
        <w:iCs/>
      </w:rPr>
      <w:t xml:space="preserve"> a </w:t>
    </w:r>
    <w:r>
      <w:rPr>
        <w:i/>
        <w:iCs/>
      </w:rPr>
      <w:t xml:space="preserve">13 </w:t>
    </w:r>
    <w:r w:rsidRPr="005D1DE4">
      <w:rPr>
        <w:i/>
        <w:iCs/>
      </w:rPr>
      <w:t xml:space="preserve">de </w:t>
    </w:r>
    <w:r>
      <w:rPr>
        <w:i/>
        <w:iCs/>
      </w:rPr>
      <w:t>agosto</w:t>
    </w:r>
    <w:r w:rsidRPr="005D1DE4">
      <w:rPr>
        <w:i/>
        <w:iCs/>
      </w:rPr>
      <w:t xml:space="preserve"> de 2012</w:t>
    </w:r>
  </w:p>
  <w:p w:rsidR="00D54A34" w:rsidRDefault="00D54A34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33BCE"/>
    <w:rsid w:val="00352B27"/>
    <w:rsid w:val="00355592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86BD2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359D2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A6784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4A34"/>
    <w:rsid w:val="00D573F9"/>
    <w:rsid w:val="00D6058B"/>
    <w:rsid w:val="00D60E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708F0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7B9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basedOn w:val="Fontepargpadro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basedOn w:val="Fontepargpadro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basedOn w:val="Fontepargpadro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basedOn w:val="Fontepargpadro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73&amp;digitoTst=02&amp;anoTst=2011&amp;orgaoTst=5&amp;tribunalTst=15&amp;varaTst=0000" TargetMode="External"/><Relationship Id="rId13" Type="http://schemas.openxmlformats.org/officeDocument/2006/relationships/hyperlink" Target="https://aplicacao5.tst.jus.br/consultaProcessual/consultaTstNumUnica.do?consulta=Consultar&amp;conscsjt=&amp;numeroTst=477040&amp;digitoTst=40&amp;anoTst=2001&amp;orgaoTst=5&amp;tribunalTst=09&amp;varaTst=00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114740&amp;digitoTst=98&amp;anoTst=2005&amp;orgaoTst=5&amp;tribunalTst=13&amp;varaTst=000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licacao5.tst.jus.br/consultaProcessual/consultaTstNumUnica.do?consulta=Consultar&amp;conscsjt=&amp;numeroTst=1985&amp;digitoTst=85&amp;anoTst=2011&amp;orgaoTst=5&amp;tribunalTst=04&amp;varaTst=000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5644100&amp;digitoTst=72&amp;anoTst=2002&amp;orgaoTst=5&amp;tribunalTst=02&amp;varaTst=0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cacao5.tst.jus.br/consultaProcessual/consultaTstNumUnica.do?consulta=Consultar&amp;conscsjt=&amp;numeroTst=9951600&amp;digitoTst=38&amp;anoTst=2005&amp;orgaoTst=5&amp;tribunalTst=09&amp;varaTst=0095" TargetMode="External"/><Relationship Id="rId10" Type="http://schemas.openxmlformats.org/officeDocument/2006/relationships/hyperlink" Target="https://aplicacao5.tst.jus.br/consultaProcessual/consultaTstNumUnica.do?consulta=Consultar&amp;conscsjt=&amp;numeroTst=2643&amp;digitoTst=24&amp;anoTst=2010&amp;orgaoTst=5&amp;tribunalTst=12&amp;varaTst=000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3955&amp;digitoTst=13&amp;anoTst=2010&amp;orgaoTst=5&amp;tribunalTst=15&amp;varaTst=0000" TargetMode="External"/><Relationship Id="rId14" Type="http://schemas.openxmlformats.org/officeDocument/2006/relationships/hyperlink" Target="https://aplicacao5.tst.jus.br/consultaProcessual/consultaTstNumUnica.do?consulta=Consultar&amp;conscsjt=&amp;numeroTst=75300&amp;digitoTst=94&amp;anoTst=2007&amp;orgaoTst=5&amp;tribunalTst=03&amp;varaTst=0104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9594-5823-4F02-B662-4D60DEE4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2258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14425</CharactersWithSpaces>
  <SharedDoc>false</SharedDoc>
  <HLinks>
    <vt:vector size="54" baseType="variant">
      <vt:variant>
        <vt:i4>6422653</vt:i4>
      </vt:variant>
      <vt:variant>
        <vt:i4>24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https://aplicacao5.tst.jus.br/consultaProcessual/consultaTstNumUnica.do?consulta=Consultar&amp;conscsjt=&amp;numeroTst=1985&amp;digitoTst=85&amp;anoTst=2011&amp;orgaoTst=5&amp;tribunalTst=04&amp;varaTst=0000</vt:lpwstr>
      </vt:variant>
      <vt:variant>
        <vt:lpwstr/>
      </vt:variant>
      <vt:variant>
        <vt:i4>2818097</vt:i4>
      </vt:variant>
      <vt:variant>
        <vt:i4>21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https://aplicacao5.tst.jus.br/consultaProcessual/consultaTstNumUnica.do?consulta=Consultar&amp;conscsjt=&amp;numeroTst=9951600&amp;digitoTst=38&amp;anoTst=2005&amp;orgaoTst=5&amp;tribunalTst=09&amp;varaTst=0095</vt:lpwstr>
      </vt:variant>
      <vt:variant>
        <vt:lpwstr/>
      </vt:variant>
      <vt:variant>
        <vt:i4>2031617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https://aplicacao5.tst.jus.br/consultaProcessual/consultaTstNumUnica.do?consulta=Consultar&amp;conscsjt=&amp;numeroTst=75300&amp;digitoTst=94&amp;anoTst=2007&amp;orgaoTst=5&amp;tribunalTst=03&amp;varaTst=0104</vt:lpwstr>
      </vt:variant>
      <vt:variant>
        <vt:lpwstr/>
      </vt:variant>
      <vt:variant>
        <vt:i4>5570635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https://aplicacao5.tst.jus.br/consultaProcessual/consultaTstNumUnica.do?consulta=Consultar&amp;conscsjt=&amp;numeroTst=477040&amp;digitoTst=40&amp;anoTst=2001&amp;orgaoTst=5&amp;tribunalTst=09&amp;varaTst=0015</vt:lpwstr>
      </vt:variant>
      <vt:variant>
        <vt:lpwstr/>
      </vt:variant>
      <vt:variant>
        <vt:i4>5505094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https://aplicacao5.tst.jus.br/consultaProcessual/consultaTstNumUnica.do?consulta=Consultar&amp;conscsjt=&amp;numeroTst=114740&amp;digitoTst=98&amp;anoTst=2005&amp;orgaoTst=5&amp;tribunalTst=13&amp;varaTst=0004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https://aplicacao5.tst.jus.br/consultaProcessual/consultaTstNumUnica.do?consulta=Consultar&amp;conscsjt=&amp;numeroTst=5644100&amp;digitoTst=72&amp;anoTst=2002&amp;orgaoTst=5&amp;tribunalTst=02&amp;varaTst=0900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https://aplicacao5.tst.jus.br/consultaProcessual/consultaTstNumUnica.do?consulta=Consultar&amp;conscsjt=&amp;numeroTst=2643&amp;digitoTst=24&amp;anoTst=2010&amp;orgaoTst=5&amp;tribunalTst=12&amp;varaTst=0000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https://aplicacao5.tst.jus.br/consultaProcessual/consultaTstNumUnica.do?consulta=Consultar&amp;conscsjt=&amp;numeroTst=13955&amp;digitoTst=13&amp;anoTst=2010&amp;orgaoTst=5&amp;tribunalTst=15&amp;varaTst=0000</vt:lpwstr>
      </vt:variant>
      <vt:variant>
        <vt:lpwstr/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https://aplicacao5.tst.jus.br/consultaProcessual/consultaTstNumUnica.do?consulta=Consultar&amp;conscsjt=&amp;numeroTst=173&amp;digitoTst=02&amp;anoTst=2011&amp;orgaoTst=5&amp;tribunalTst=15&amp;varaTst=0000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