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E531C9" w:rsidRPr="00E531C9" w:rsidRDefault="00E531C9" w:rsidP="00DC50EB">
            <w:pPr>
              <w:pStyle w:val="Cabealho"/>
              <w:tabs>
                <w:tab w:val="clear" w:pos="4419"/>
                <w:tab w:val="clear" w:pos="8838"/>
              </w:tabs>
              <w:jc w:val="both"/>
              <w:rPr>
                <w:sz w:val="10"/>
                <w:szCs w:val="10"/>
              </w:rPr>
            </w:pPr>
          </w:p>
        </w:tc>
      </w:tr>
    </w:tbl>
    <w:p w:rsidR="00055A9D" w:rsidRDefault="00055A9D" w:rsidP="00C6738C">
      <w:pPr>
        <w:rPr>
          <w:sz w:val="10"/>
          <w:szCs w:val="10"/>
        </w:rPr>
      </w:pPr>
    </w:p>
    <w:p w:rsidR="00055A9D" w:rsidRPr="00CE7555" w:rsidRDefault="007E37B1" w:rsidP="00055A9D">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ÓRGÃO ESPECIAL</w:t>
      </w:r>
    </w:p>
    <w:p w:rsidR="000332F1" w:rsidRPr="000332F1" w:rsidRDefault="000332F1" w:rsidP="008E3CCE">
      <w:pPr>
        <w:jc w:val="both"/>
        <w:rPr>
          <w:rFonts w:eastAsia="Calibri"/>
          <w:sz w:val="10"/>
          <w:szCs w:val="10"/>
          <w:u w:val="single"/>
        </w:rPr>
      </w:pPr>
    </w:p>
    <w:p w:rsidR="007E37B1" w:rsidRDefault="007E37B1" w:rsidP="007E37B1">
      <w:pPr>
        <w:jc w:val="both"/>
        <w:rPr>
          <w:b/>
          <w:i/>
          <w:sz w:val="24"/>
          <w:szCs w:val="24"/>
        </w:rPr>
      </w:pPr>
      <w:r>
        <w:rPr>
          <w:b/>
          <w:i/>
          <w:sz w:val="24"/>
          <w:szCs w:val="24"/>
        </w:rPr>
        <w:t>Reclamação. A</w:t>
      </w:r>
      <w:r w:rsidRPr="00742F6B">
        <w:rPr>
          <w:b/>
          <w:i/>
          <w:sz w:val="24"/>
          <w:szCs w:val="24"/>
        </w:rPr>
        <w:t>rt. 988, II, do CPC</w:t>
      </w:r>
      <w:r>
        <w:rPr>
          <w:b/>
          <w:i/>
          <w:sz w:val="24"/>
          <w:szCs w:val="24"/>
        </w:rPr>
        <w:t xml:space="preserve"> de 2015</w:t>
      </w:r>
      <w:r w:rsidRPr="00742F6B">
        <w:rPr>
          <w:b/>
          <w:i/>
          <w:sz w:val="24"/>
          <w:szCs w:val="24"/>
        </w:rPr>
        <w:t xml:space="preserve">. </w:t>
      </w:r>
      <w:r>
        <w:rPr>
          <w:b/>
          <w:i/>
          <w:sz w:val="24"/>
          <w:szCs w:val="24"/>
        </w:rPr>
        <w:t>I</w:t>
      </w:r>
      <w:r w:rsidRPr="00742F6B">
        <w:rPr>
          <w:b/>
          <w:i/>
          <w:sz w:val="24"/>
          <w:szCs w:val="24"/>
        </w:rPr>
        <w:t>ncompetência do Órgão Especial</w:t>
      </w:r>
      <w:r>
        <w:rPr>
          <w:b/>
          <w:i/>
          <w:sz w:val="24"/>
          <w:szCs w:val="24"/>
        </w:rPr>
        <w:t xml:space="preserve">. </w:t>
      </w:r>
      <w:r w:rsidR="00E126EB">
        <w:rPr>
          <w:b/>
          <w:i/>
          <w:sz w:val="24"/>
          <w:szCs w:val="24"/>
        </w:rPr>
        <w:t>P</w:t>
      </w:r>
      <w:r w:rsidRPr="00742F6B">
        <w:rPr>
          <w:b/>
          <w:i/>
          <w:sz w:val="24"/>
          <w:szCs w:val="24"/>
        </w:rPr>
        <w:t>revenção</w:t>
      </w:r>
      <w:r>
        <w:rPr>
          <w:b/>
          <w:i/>
          <w:sz w:val="24"/>
          <w:szCs w:val="24"/>
        </w:rPr>
        <w:t xml:space="preserve"> quanto ao órgão jurisdicional e ao relator da causa principal. A</w:t>
      </w:r>
      <w:r w:rsidRPr="00742F6B">
        <w:rPr>
          <w:b/>
          <w:i/>
          <w:sz w:val="24"/>
          <w:szCs w:val="24"/>
        </w:rPr>
        <w:t>rt. 988, §§ 1º e 3º, do CPC</w:t>
      </w:r>
      <w:r>
        <w:rPr>
          <w:b/>
          <w:i/>
          <w:sz w:val="24"/>
          <w:szCs w:val="24"/>
        </w:rPr>
        <w:t xml:space="preserve"> de 2015</w:t>
      </w:r>
      <w:r w:rsidRPr="00742F6B">
        <w:rPr>
          <w:b/>
          <w:i/>
          <w:sz w:val="24"/>
          <w:szCs w:val="24"/>
        </w:rPr>
        <w:t>.</w:t>
      </w:r>
      <w:r>
        <w:rPr>
          <w:b/>
          <w:i/>
          <w:sz w:val="24"/>
          <w:szCs w:val="24"/>
        </w:rPr>
        <w:t xml:space="preserve"> Remessa dos autos ao juízo competente.</w:t>
      </w:r>
    </w:p>
    <w:p w:rsidR="007E37B1" w:rsidRDefault="007E37B1" w:rsidP="007E37B1">
      <w:pPr>
        <w:jc w:val="both"/>
        <w:rPr>
          <w:sz w:val="24"/>
          <w:szCs w:val="24"/>
        </w:rPr>
      </w:pPr>
      <w:r>
        <w:rPr>
          <w:sz w:val="24"/>
          <w:szCs w:val="24"/>
        </w:rPr>
        <w:t>Embora não haja regra de competência específica para processar e julgar a reclamação no âmbito do TST e caiba ao Órgão Especial deliberar sobe as matérias jurisdicionais não incluídas na competência dos outros órgãos da Corte (art. 69, I, “h”, do RITST),</w:t>
      </w:r>
      <w:r w:rsidRPr="00CE304A">
        <w:rPr>
          <w:sz w:val="24"/>
          <w:szCs w:val="24"/>
        </w:rPr>
        <w:t xml:space="preserve"> </w:t>
      </w:r>
      <w:r>
        <w:rPr>
          <w:sz w:val="24"/>
          <w:szCs w:val="24"/>
        </w:rPr>
        <w:t xml:space="preserve">aplica-se a regra </w:t>
      </w:r>
      <w:r w:rsidRPr="00742F6B">
        <w:rPr>
          <w:sz w:val="24"/>
          <w:szCs w:val="24"/>
        </w:rPr>
        <w:t>de prevenção prevista no art. 988, §§ 1º e 3º, do CPC</w:t>
      </w:r>
      <w:r>
        <w:rPr>
          <w:sz w:val="24"/>
          <w:szCs w:val="24"/>
        </w:rPr>
        <w:t xml:space="preserve"> de 2015</w:t>
      </w:r>
      <w:r w:rsidRPr="00742F6B">
        <w:rPr>
          <w:sz w:val="24"/>
          <w:szCs w:val="24"/>
        </w:rPr>
        <w:t>, quanto ao órgão jurisdicional e ao relator da causa principal</w:t>
      </w:r>
      <w:r>
        <w:rPr>
          <w:sz w:val="24"/>
          <w:szCs w:val="24"/>
        </w:rPr>
        <w:t xml:space="preserve">, aos casos em que </w:t>
      </w:r>
      <w:r w:rsidRPr="00742F6B">
        <w:rPr>
          <w:sz w:val="24"/>
          <w:szCs w:val="24"/>
        </w:rPr>
        <w:t>a causa de pedir na reclamação visa à garantia da autoridade de decisão</w:t>
      </w:r>
      <w:r>
        <w:rPr>
          <w:sz w:val="24"/>
          <w:szCs w:val="24"/>
        </w:rPr>
        <w:t xml:space="preserve"> proferida por Turma. Sob esse entendimento, e na forma dos arts. 64, § 3º, e 988, §§ 1º e 3º, do CPC de 2015, o Órgão Especial, por unanimidade, deu provimento ao agravo regimental para, acolhendo a preliminar de incompetência para processar e julgar reclamação ajuizada com fulcro no art. 988, II, do CPC de 2015, determinar a remessa dos autos ao juízo competente, com redistribuição do feito, por prevenção, no âmbito da 7ª Turma, ao Ministro Luiz Philippe Vieira de Mello Filho, relator do acórdão indicado como descumprido na petição inicial. </w:t>
      </w:r>
      <w:hyperlink r:id="rId8" w:history="1">
        <w:r w:rsidRPr="00230183">
          <w:rPr>
            <w:rStyle w:val="Hyperlink"/>
            <w:sz w:val="24"/>
            <w:szCs w:val="24"/>
          </w:rPr>
          <w:t>TST-AgR-Rcl-4852-86.2016.5.00.0000</w:t>
        </w:r>
      </w:hyperlink>
      <w:r w:rsidRPr="00B4525E">
        <w:rPr>
          <w:sz w:val="24"/>
          <w:szCs w:val="24"/>
          <w:u w:val="single"/>
        </w:rPr>
        <w:t xml:space="preserve">, </w:t>
      </w:r>
      <w:r>
        <w:rPr>
          <w:sz w:val="24"/>
          <w:szCs w:val="24"/>
          <w:u w:val="single"/>
        </w:rPr>
        <w:t xml:space="preserve">Órgão Especial, rel. Min. </w:t>
      </w:r>
      <w:r w:rsidRPr="00DE039B">
        <w:rPr>
          <w:sz w:val="24"/>
          <w:szCs w:val="24"/>
          <w:u w:val="single"/>
        </w:rPr>
        <w:t xml:space="preserve">Augusto </w:t>
      </w:r>
      <w:r>
        <w:rPr>
          <w:sz w:val="24"/>
          <w:szCs w:val="24"/>
          <w:u w:val="single"/>
        </w:rPr>
        <w:t>César Leite de Carvalho</w:t>
      </w:r>
      <w:r w:rsidRPr="00B4525E">
        <w:rPr>
          <w:sz w:val="24"/>
          <w:szCs w:val="24"/>
          <w:u w:val="single"/>
        </w:rPr>
        <w:t xml:space="preserve">, </w:t>
      </w:r>
      <w:r>
        <w:rPr>
          <w:sz w:val="24"/>
          <w:szCs w:val="24"/>
          <w:u w:val="single"/>
        </w:rPr>
        <w:t>5.9.2016</w:t>
      </w:r>
    </w:p>
    <w:p w:rsidR="007E37B1" w:rsidRPr="00230183" w:rsidRDefault="007E37B1" w:rsidP="007E37B1">
      <w:pPr>
        <w:jc w:val="both"/>
        <w:rPr>
          <w:rFonts w:eastAsia="Calibri"/>
          <w:b/>
          <w:i/>
        </w:rPr>
      </w:pPr>
    </w:p>
    <w:p w:rsidR="007E37B1" w:rsidRDefault="007E37B1" w:rsidP="007E37B1">
      <w:pPr>
        <w:jc w:val="both"/>
        <w:rPr>
          <w:rFonts w:eastAsia="Calibri"/>
          <w:sz w:val="24"/>
          <w:szCs w:val="24"/>
        </w:rPr>
      </w:pPr>
      <w:r>
        <w:rPr>
          <w:rFonts w:eastAsia="Calibri"/>
          <w:b/>
          <w:i/>
          <w:sz w:val="24"/>
          <w:szCs w:val="24"/>
        </w:rPr>
        <w:t>Mandado de segurança. Concurso público. Candidata inscrita como portadora de necessidades especiais (PNE). Esclerose múltipla. Incapacitação não aferida no momento da avaliação médica. Enquadramento. Impossibilidade.</w:t>
      </w:r>
    </w:p>
    <w:p w:rsidR="007E37B1" w:rsidRDefault="007E37B1" w:rsidP="007E37B1">
      <w:pPr>
        <w:jc w:val="both"/>
        <w:rPr>
          <w:rFonts w:eastAsia="Calibri"/>
          <w:sz w:val="24"/>
          <w:szCs w:val="24"/>
        </w:rPr>
      </w:pPr>
      <w:r>
        <w:rPr>
          <w:rFonts w:eastAsia="Calibri"/>
          <w:sz w:val="24"/>
          <w:szCs w:val="24"/>
        </w:rPr>
        <w:t xml:space="preserve">O acometimento de moléstia grave, por si só, não </w:t>
      </w:r>
      <w:r w:rsidRPr="00D54CDC">
        <w:rPr>
          <w:rFonts w:eastAsia="Calibri"/>
          <w:sz w:val="24"/>
          <w:szCs w:val="24"/>
        </w:rPr>
        <w:t>enseja</w:t>
      </w:r>
      <w:r>
        <w:rPr>
          <w:rFonts w:eastAsia="Calibri"/>
          <w:sz w:val="24"/>
          <w:szCs w:val="24"/>
        </w:rPr>
        <w:t xml:space="preserve"> o enquadramento de candidata a cargo</w:t>
      </w:r>
      <w:r w:rsidRPr="00D54CDC">
        <w:rPr>
          <w:rFonts w:eastAsia="Calibri"/>
          <w:sz w:val="24"/>
          <w:szCs w:val="24"/>
        </w:rPr>
        <w:t xml:space="preserve"> público</w:t>
      </w:r>
      <w:r>
        <w:rPr>
          <w:rFonts w:eastAsia="Calibri"/>
          <w:sz w:val="24"/>
          <w:szCs w:val="24"/>
        </w:rPr>
        <w:t xml:space="preserve"> </w:t>
      </w:r>
      <w:r w:rsidRPr="00D54CDC">
        <w:rPr>
          <w:rFonts w:eastAsia="Calibri"/>
          <w:sz w:val="24"/>
          <w:szCs w:val="24"/>
        </w:rPr>
        <w:t>em vaga reservada aos portadores de necessidades especiais</w:t>
      </w:r>
      <w:r w:rsidR="00E126EB">
        <w:rPr>
          <w:rFonts w:eastAsia="Calibri"/>
          <w:sz w:val="24"/>
          <w:szCs w:val="24"/>
        </w:rPr>
        <w:t xml:space="preserve"> (PNE)</w:t>
      </w:r>
      <w:r w:rsidRPr="00D54CDC">
        <w:rPr>
          <w:rFonts w:eastAsia="Calibri"/>
          <w:sz w:val="24"/>
          <w:szCs w:val="24"/>
        </w:rPr>
        <w:t xml:space="preserve">. No caso, </w:t>
      </w:r>
      <w:r>
        <w:rPr>
          <w:rFonts w:eastAsia="Calibri"/>
          <w:sz w:val="24"/>
          <w:szCs w:val="24"/>
        </w:rPr>
        <w:t xml:space="preserve">embora o laudo </w:t>
      </w:r>
      <w:r w:rsidRPr="00D54CDC">
        <w:rPr>
          <w:rFonts w:eastAsia="Calibri"/>
          <w:sz w:val="24"/>
          <w:szCs w:val="24"/>
        </w:rPr>
        <w:t>elaborado pela equipe médica</w:t>
      </w:r>
      <w:r>
        <w:rPr>
          <w:rFonts w:eastAsia="Calibri"/>
          <w:sz w:val="24"/>
          <w:szCs w:val="24"/>
        </w:rPr>
        <w:t xml:space="preserve"> tenha reconhecido que a impetrante possui esclerose múltipla, também registrou q</w:t>
      </w:r>
      <w:r w:rsidRPr="00D54CDC">
        <w:rPr>
          <w:rFonts w:eastAsia="Calibri"/>
          <w:sz w:val="24"/>
          <w:szCs w:val="24"/>
        </w:rPr>
        <w:t>ue,</w:t>
      </w:r>
      <w:r>
        <w:rPr>
          <w:rFonts w:eastAsia="Calibri"/>
          <w:sz w:val="24"/>
          <w:szCs w:val="24"/>
        </w:rPr>
        <w:t xml:space="preserve"> no momento da avaliação, seu quadro clínico não revelou incapacitação hábil </w:t>
      </w:r>
      <w:r w:rsidRPr="00D54CDC">
        <w:rPr>
          <w:rFonts w:eastAsia="Calibri"/>
          <w:sz w:val="24"/>
          <w:szCs w:val="24"/>
        </w:rPr>
        <w:t xml:space="preserve">a justificar </w:t>
      </w:r>
      <w:r>
        <w:rPr>
          <w:rFonts w:eastAsia="Calibri"/>
          <w:sz w:val="24"/>
          <w:szCs w:val="24"/>
        </w:rPr>
        <w:t xml:space="preserve">a condição de portadora de deficiência, nos termos do </w:t>
      </w:r>
      <w:r w:rsidRPr="00D54CDC">
        <w:rPr>
          <w:rFonts w:eastAsia="Calibri"/>
          <w:sz w:val="24"/>
          <w:szCs w:val="24"/>
        </w:rPr>
        <w:t xml:space="preserve">art. 4º do Decreto </w:t>
      </w:r>
      <w:r>
        <w:rPr>
          <w:rFonts w:eastAsia="Calibri"/>
          <w:sz w:val="24"/>
          <w:szCs w:val="24"/>
        </w:rPr>
        <w:t xml:space="preserve">nº 3.284/90. </w:t>
      </w:r>
      <w:r w:rsidRPr="00D54CDC">
        <w:rPr>
          <w:rFonts w:eastAsia="Calibri"/>
          <w:sz w:val="24"/>
          <w:szCs w:val="24"/>
        </w:rPr>
        <w:t>Sob esses fundamentos, o Órgão Especial, por unanimidade, negou provimento ao recurso ordinário</w:t>
      </w:r>
      <w:r>
        <w:rPr>
          <w:rFonts w:eastAsia="Calibri"/>
          <w:sz w:val="24"/>
          <w:szCs w:val="24"/>
        </w:rPr>
        <w:t>, mantendo incólume a decisão da</w:t>
      </w:r>
      <w:r w:rsidRPr="00D54CDC">
        <w:rPr>
          <w:rFonts w:eastAsia="Calibri"/>
          <w:sz w:val="24"/>
          <w:szCs w:val="24"/>
        </w:rPr>
        <w:t xml:space="preserve"> Corte de origem que </w:t>
      </w:r>
      <w:r>
        <w:rPr>
          <w:rFonts w:eastAsia="Calibri"/>
          <w:sz w:val="24"/>
          <w:szCs w:val="24"/>
        </w:rPr>
        <w:t>de</w:t>
      </w:r>
      <w:r w:rsidRPr="00D54CDC">
        <w:rPr>
          <w:rFonts w:eastAsia="Calibri"/>
          <w:sz w:val="24"/>
          <w:szCs w:val="24"/>
        </w:rPr>
        <w:t>negara a segurança pretendida</w:t>
      </w:r>
      <w:r>
        <w:rPr>
          <w:rFonts w:eastAsia="Calibri"/>
          <w:sz w:val="24"/>
          <w:szCs w:val="24"/>
        </w:rPr>
        <w:t xml:space="preserve"> por não vislumbrar ilegalidade no ato que negou o enquadramento da impetrante como pessoa portadora de necessidades especiais. </w:t>
      </w:r>
      <w:hyperlink r:id="rId9" w:history="1">
        <w:r w:rsidRPr="00230183">
          <w:rPr>
            <w:rStyle w:val="Hyperlink"/>
            <w:rFonts w:eastAsia="Calibri"/>
            <w:sz w:val="24"/>
            <w:szCs w:val="24"/>
          </w:rPr>
          <w:t>TST-RO-166-46.2015.5.23.0000</w:t>
        </w:r>
      </w:hyperlink>
      <w:r>
        <w:rPr>
          <w:rFonts w:eastAsia="Calibri"/>
          <w:sz w:val="24"/>
          <w:szCs w:val="24"/>
          <w:u w:val="single"/>
        </w:rPr>
        <w:t>, Órgão Especial, rel. Min. Augusto César Leite de Carvalho, 5.9.2016</w:t>
      </w:r>
    </w:p>
    <w:p w:rsidR="00A81F5B" w:rsidRPr="00230183" w:rsidRDefault="00A81F5B" w:rsidP="00BD75B0">
      <w:pPr>
        <w:jc w:val="both"/>
        <w:rPr>
          <w:b/>
          <w:i/>
        </w:rPr>
      </w:pPr>
    </w:p>
    <w:p w:rsidR="007E37B1" w:rsidRPr="00CE7555" w:rsidRDefault="007E37B1" w:rsidP="007E37B1">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SUBSEÇÃO I ESPECIALIZADA EM DISSÍDIOS INDIVIDUAIS</w:t>
      </w:r>
    </w:p>
    <w:p w:rsidR="007E37B1" w:rsidRPr="000332F1" w:rsidRDefault="007E37B1" w:rsidP="007E37B1">
      <w:pPr>
        <w:jc w:val="both"/>
        <w:rPr>
          <w:rFonts w:eastAsia="Calibri"/>
          <w:sz w:val="10"/>
          <w:szCs w:val="10"/>
          <w:u w:val="single"/>
        </w:rPr>
      </w:pPr>
    </w:p>
    <w:p w:rsidR="007E37B1" w:rsidRDefault="007E37B1" w:rsidP="007E37B1">
      <w:pPr>
        <w:jc w:val="both"/>
        <w:rPr>
          <w:rFonts w:eastAsia="Calibri"/>
          <w:sz w:val="24"/>
          <w:szCs w:val="24"/>
        </w:rPr>
      </w:pPr>
      <w:r>
        <w:rPr>
          <w:rFonts w:eastAsia="Calibri"/>
          <w:b/>
          <w:i/>
          <w:sz w:val="24"/>
          <w:szCs w:val="24"/>
        </w:rPr>
        <w:t xml:space="preserve">Aprendiz. Cota mínima para contratação. Base de cálculo. Inclusão de motoristas e cobradores de ônibus. Art. 10, § 2º, do Decreto nº 5.598/2005. </w:t>
      </w:r>
    </w:p>
    <w:p w:rsidR="007E37B1" w:rsidRDefault="007E37B1" w:rsidP="007E37B1">
      <w:pPr>
        <w:jc w:val="both"/>
        <w:rPr>
          <w:rFonts w:eastAsia="Calibri"/>
          <w:sz w:val="24"/>
          <w:szCs w:val="24"/>
        </w:rPr>
      </w:pPr>
      <w:r>
        <w:rPr>
          <w:rFonts w:eastAsia="Calibri"/>
          <w:sz w:val="24"/>
          <w:szCs w:val="24"/>
        </w:rPr>
        <w:t>As funções de motorista e cobrador de ônibus devem integrar a base de cálculo para a definição da cota mínima de aprendizes a serem contratados (art. 429 da CLT), pois o a</w:t>
      </w:r>
      <w:r w:rsidRPr="00FB28AD">
        <w:rPr>
          <w:rFonts w:eastAsia="Calibri"/>
          <w:sz w:val="24"/>
          <w:szCs w:val="24"/>
        </w:rPr>
        <w:t>rt. 10, § 2º, do Decreto nº 5.598/2005</w:t>
      </w:r>
      <w:r>
        <w:rPr>
          <w:rFonts w:eastAsia="Calibri"/>
          <w:sz w:val="24"/>
          <w:szCs w:val="24"/>
        </w:rPr>
        <w:t xml:space="preserve"> determina a inclusão de todas as funções que demandem formação profissional, ainda que proibidas para menores de 18 anos. Nos termos do art. 10, § 1º, do aludido Decreto, somente são excluídos os cargos que exigem habilitação técnica de nível superior e cargos de direção. Sob esses fundamentos, a SBDI-I, por unanimidade, conheceu dos embargos, por divergência jurisprudencial, e, no mérito, por maioria, negou-lhes provimento. Vencidos os Ministros Cláudio </w:t>
      </w:r>
      <w:r>
        <w:rPr>
          <w:rFonts w:eastAsia="Calibri"/>
          <w:sz w:val="24"/>
          <w:szCs w:val="24"/>
        </w:rPr>
        <w:lastRenderedPageBreak/>
        <w:t xml:space="preserve">Mascarenhas Brandão e Walmir Oliveira da Costa. </w:t>
      </w:r>
      <w:hyperlink r:id="rId10" w:history="1">
        <w:r w:rsidRPr="00230183">
          <w:rPr>
            <w:rStyle w:val="Hyperlink"/>
            <w:rFonts w:eastAsia="Calibri"/>
            <w:sz w:val="24"/>
            <w:szCs w:val="24"/>
          </w:rPr>
          <w:t>TST-E-ED-RR-2220-02.2013.5.03.0003</w:t>
        </w:r>
      </w:hyperlink>
      <w:r>
        <w:rPr>
          <w:rFonts w:eastAsia="Calibri"/>
          <w:sz w:val="24"/>
          <w:szCs w:val="24"/>
          <w:u w:val="single"/>
        </w:rPr>
        <w:t>, SBDI-I, rel. Min. José Roberto Freire Pimenta, 1º.9.2016</w:t>
      </w:r>
    </w:p>
    <w:p w:rsidR="007E37B1" w:rsidRPr="00230183" w:rsidRDefault="007E37B1" w:rsidP="00BD75B0">
      <w:pPr>
        <w:jc w:val="both"/>
        <w:rPr>
          <w:b/>
          <w:i/>
        </w:rPr>
      </w:pPr>
    </w:p>
    <w:p w:rsidR="007E37B1" w:rsidRPr="00CE7555" w:rsidRDefault="007E37B1" w:rsidP="007E37B1">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SUBSEÇÃO II ESPECIALIZADA EM DISSÍDIOS INDIVIDUAIS</w:t>
      </w:r>
    </w:p>
    <w:p w:rsidR="007E37B1" w:rsidRPr="000332F1" w:rsidRDefault="007E37B1" w:rsidP="007E37B1">
      <w:pPr>
        <w:jc w:val="both"/>
        <w:rPr>
          <w:rFonts w:eastAsia="Calibri"/>
          <w:sz w:val="10"/>
          <w:szCs w:val="10"/>
          <w:u w:val="single"/>
        </w:rPr>
      </w:pPr>
    </w:p>
    <w:p w:rsidR="007E37B1" w:rsidRPr="002D2EFD" w:rsidRDefault="007E37B1" w:rsidP="007E37B1">
      <w:pPr>
        <w:jc w:val="both"/>
        <w:rPr>
          <w:b/>
          <w:i/>
          <w:sz w:val="24"/>
          <w:szCs w:val="24"/>
        </w:rPr>
      </w:pPr>
      <w:r>
        <w:rPr>
          <w:b/>
          <w:i/>
          <w:sz w:val="24"/>
          <w:szCs w:val="24"/>
        </w:rPr>
        <w:t>Ação rescisória. Art. 485, II, do CPC de 1973. Competência da Justiça do Trabalho. Aprovação em concurso público. Preterição. Contratação de terceirizados. Fase pré-contratual. Art. 114, I, da CF.</w:t>
      </w:r>
    </w:p>
    <w:p w:rsidR="007E37B1" w:rsidRDefault="007E37B1" w:rsidP="007E37B1">
      <w:pPr>
        <w:jc w:val="both"/>
        <w:rPr>
          <w:sz w:val="24"/>
          <w:szCs w:val="24"/>
          <w:u w:val="single"/>
        </w:rPr>
      </w:pPr>
      <w:r w:rsidRPr="00AA4273">
        <w:rPr>
          <w:sz w:val="24"/>
          <w:szCs w:val="24"/>
        </w:rPr>
        <w:t>A pretensão de rescisão de julgados com fundamento no art. 485, II, do CPC</w:t>
      </w:r>
      <w:r>
        <w:rPr>
          <w:sz w:val="24"/>
          <w:szCs w:val="24"/>
        </w:rPr>
        <w:t xml:space="preserve"> de 1973</w:t>
      </w:r>
      <w:r w:rsidRPr="00AA4273">
        <w:rPr>
          <w:sz w:val="24"/>
          <w:szCs w:val="24"/>
        </w:rPr>
        <w:t xml:space="preserve"> apenas se viabiliza quando a incompetência da </w:t>
      </w:r>
      <w:r>
        <w:rPr>
          <w:sz w:val="24"/>
          <w:szCs w:val="24"/>
        </w:rPr>
        <w:t>Justiça do T</w:t>
      </w:r>
      <w:r w:rsidRPr="00AA4273">
        <w:rPr>
          <w:sz w:val="24"/>
          <w:szCs w:val="24"/>
        </w:rPr>
        <w:t xml:space="preserve">rabalho é evidenciada de forma fácil e objetiva. </w:t>
      </w:r>
      <w:r>
        <w:rPr>
          <w:sz w:val="24"/>
          <w:szCs w:val="24"/>
        </w:rPr>
        <w:t xml:space="preserve">Não é o que ocorre na hipótese em que a lide envolve a legalidade da preterição de advogados aprovados em concurso público e concomitante terceirização de serviços jurídicos por empresa pública. À luz do art. 114, I, da CF, a Justiça do Trabalho é competente para processar e julgar pleitos relacionados a fatos ocorridos antes do nascimento do vínculo, durante ou após a sua cessação, pois a competência se estabelece em razão de o pacto laboral ser causa próxima ou remota do dissenso instaurado. Assim, não afastam a natureza trabalhista da demanda o fato de a fase pré-contratual do certame ser antecedente à efetiva formalização da relação empregatícia e de o concurso público ter natureza administrativa. Sob esse entendimento, a SBDI-II, por unanimidade, conheceu e negou provimento ao recurso ordinário, mantendo, portanto, a decisão do Regional que julgou improcedente o pleito rescisório. </w:t>
      </w:r>
      <w:hyperlink r:id="rId11" w:history="1">
        <w:r w:rsidRPr="00230183">
          <w:rPr>
            <w:rStyle w:val="Hyperlink"/>
            <w:sz w:val="24"/>
            <w:szCs w:val="24"/>
          </w:rPr>
          <w:t>TST-RO-206-59.2013.5.10.0000</w:t>
        </w:r>
      </w:hyperlink>
      <w:r w:rsidRPr="00CE66E8">
        <w:rPr>
          <w:sz w:val="24"/>
          <w:szCs w:val="24"/>
          <w:u w:val="single"/>
        </w:rPr>
        <w:t>, SBDI-II, rel. Min. Douglas Alencar Rodrigues, 30.8.2016</w:t>
      </w:r>
    </w:p>
    <w:p w:rsidR="007E37B1" w:rsidRPr="00230183" w:rsidRDefault="007E37B1" w:rsidP="007E37B1">
      <w:pPr>
        <w:jc w:val="both"/>
        <w:rPr>
          <w:u w:val="single"/>
        </w:rPr>
      </w:pPr>
    </w:p>
    <w:p w:rsidR="007E37B1" w:rsidRPr="00B4525E" w:rsidRDefault="007E37B1" w:rsidP="007E37B1">
      <w:pPr>
        <w:jc w:val="both"/>
        <w:rPr>
          <w:b/>
          <w:i/>
          <w:sz w:val="24"/>
          <w:szCs w:val="24"/>
        </w:rPr>
      </w:pPr>
      <w:r>
        <w:rPr>
          <w:b/>
          <w:i/>
          <w:sz w:val="24"/>
          <w:szCs w:val="24"/>
        </w:rPr>
        <w:t>Ação rescisória. Indenização. Frutos percebidos na posse de má-fé. Violaç</w:t>
      </w:r>
      <w:r w:rsidR="00230183">
        <w:rPr>
          <w:b/>
          <w:i/>
          <w:sz w:val="24"/>
          <w:szCs w:val="24"/>
        </w:rPr>
        <w:t>ão</w:t>
      </w:r>
      <w:r>
        <w:rPr>
          <w:b/>
          <w:i/>
          <w:sz w:val="24"/>
          <w:szCs w:val="24"/>
        </w:rPr>
        <w:t xml:space="preserve"> do art. 1.216 do CC. Inaplicabilidade do óbice da Súmula nº 83 do TST. Inexistência de controvérsia mesmo antes da edição da Súmula nº 445 do TST.</w:t>
      </w:r>
    </w:p>
    <w:p w:rsidR="007E37B1" w:rsidRDefault="007E37B1" w:rsidP="007E37B1">
      <w:pPr>
        <w:jc w:val="both"/>
        <w:rPr>
          <w:sz w:val="24"/>
          <w:szCs w:val="24"/>
        </w:rPr>
      </w:pPr>
      <w:r>
        <w:rPr>
          <w:sz w:val="24"/>
          <w:szCs w:val="24"/>
        </w:rPr>
        <w:t xml:space="preserve">A SBDI-II, por unanimidade, afastando o óbice da Súmula nº 83, I e II, do TST, negou provimento a recurso ordinário, mantendo, portanto, o acórdão que, reconhecendo violação do art. 1.216 do CC, rescindiu a sentença e julgou improcedente o pedido relativo à indenização por perdas e danos decorrentes dos frutos percebidos na posse de má-fé. Na espécie, prevaleceu o entendimento de que mesmo antes da edição da Súmula nº 445 do TST já havia na Corte jurisprudência íntegra, coerente e estável a respeito da incompatibilidade da referida indenização com o direito do trabalho, não havendo falar em matéria de interpretação controvertida à época do trânsito em julgado da decisão rescindenda. Ressaltou-se, ademais, que a função precípua do TST é dar unidade ao direito material e processual do trabalho, pacificando a jurisprudência nacional, de modo que as Súmulas nº 343 do STF e 83 do TST e a chamada “interpretação razoável” não podem obstar a atuação institucional do TST quanto à interpretação mais adequada de norma federal. </w:t>
      </w:r>
      <w:hyperlink r:id="rId12" w:history="1">
        <w:r w:rsidRPr="00230183">
          <w:rPr>
            <w:rStyle w:val="Hyperlink"/>
            <w:sz w:val="24"/>
            <w:szCs w:val="24"/>
          </w:rPr>
          <w:t>TST-RO-7213-61.2012.5.02.0000</w:t>
        </w:r>
      </w:hyperlink>
      <w:r w:rsidRPr="00B4525E">
        <w:rPr>
          <w:sz w:val="24"/>
          <w:szCs w:val="24"/>
          <w:u w:val="single"/>
        </w:rPr>
        <w:t xml:space="preserve">, SBDI-I, rel. Min. </w:t>
      </w:r>
      <w:r w:rsidRPr="009442EC">
        <w:rPr>
          <w:sz w:val="24"/>
          <w:szCs w:val="24"/>
          <w:u w:val="single"/>
        </w:rPr>
        <w:t>Luiz Philippe Vieira de Mello Filho</w:t>
      </w:r>
      <w:r>
        <w:rPr>
          <w:sz w:val="24"/>
          <w:szCs w:val="24"/>
          <w:u w:val="single"/>
        </w:rPr>
        <w:t>, 30.8.2016</w:t>
      </w:r>
    </w:p>
    <w:p w:rsidR="007E37B1" w:rsidRDefault="007E37B1" w:rsidP="007E37B1">
      <w:pPr>
        <w:jc w:val="both"/>
        <w:rPr>
          <w:sz w:val="24"/>
          <w:szCs w:val="24"/>
        </w:rPr>
      </w:pPr>
    </w:p>
    <w:p w:rsidR="007E37B1" w:rsidRPr="00073643" w:rsidRDefault="007E37B1" w:rsidP="007E37B1">
      <w:pPr>
        <w:jc w:val="both"/>
        <w:rPr>
          <w:sz w:val="24"/>
          <w:szCs w:val="24"/>
        </w:rPr>
      </w:pPr>
    </w:p>
    <w:p w:rsidR="007E37B1" w:rsidRDefault="007E37B1" w:rsidP="00BD75B0">
      <w:pPr>
        <w:jc w:val="both"/>
        <w:rPr>
          <w:b/>
          <w:i/>
          <w:sz w:val="24"/>
          <w:szCs w:val="24"/>
        </w:rPr>
      </w:pPr>
    </w:p>
    <w:p w:rsidR="00A81F5B" w:rsidRDefault="00A81F5B" w:rsidP="00BD75B0">
      <w:pPr>
        <w:jc w:val="both"/>
        <w:rPr>
          <w:b/>
          <w:i/>
          <w:sz w:val="24"/>
          <w:szCs w:val="24"/>
        </w:rPr>
      </w:pPr>
    </w:p>
    <w:p w:rsidR="00BD75B0" w:rsidRDefault="00BD75B0" w:rsidP="000332F1">
      <w:pPr>
        <w:jc w:val="both"/>
        <w:rPr>
          <w:sz w:val="24"/>
          <w:szCs w:val="24"/>
          <w:u w:val="single"/>
        </w:rPr>
      </w:pPr>
    </w:p>
    <w:p w:rsidR="000332F1" w:rsidRDefault="000332F1" w:rsidP="00C6738C">
      <w:pPr>
        <w:rPr>
          <w:sz w:val="10"/>
          <w:szCs w:val="10"/>
        </w:rPr>
      </w:pPr>
    </w:p>
    <w:p w:rsidR="000332F1" w:rsidRDefault="000332F1" w:rsidP="00C6738C">
      <w:pPr>
        <w:rPr>
          <w:sz w:val="10"/>
          <w:szCs w:val="10"/>
        </w:rPr>
      </w:pPr>
    </w:p>
    <w:p w:rsidR="000332F1" w:rsidRDefault="000332F1" w:rsidP="00C6738C">
      <w:pPr>
        <w:rPr>
          <w:sz w:val="10"/>
          <w:szCs w:val="10"/>
        </w:rPr>
      </w:pPr>
    </w:p>
    <w:p w:rsidR="00340D16" w:rsidRPr="001D6AC9" w:rsidRDefault="00340D16"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3"/>
      <w:footerReference w:type="default" r:id="rId14"/>
      <w:headerReference w:type="first" r:id="rId15"/>
      <w:footerReference w:type="first" r:id="rId1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CD" w:rsidRDefault="001920CD">
      <w:r>
        <w:separator/>
      </w:r>
    </w:p>
  </w:endnote>
  <w:endnote w:type="continuationSeparator" w:id="0">
    <w:p w:rsidR="001920CD" w:rsidRDefault="0019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4400E">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24400E">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CD" w:rsidRDefault="001920CD">
      <w:r>
        <w:separator/>
      </w:r>
    </w:p>
  </w:footnote>
  <w:footnote w:type="continuationSeparator" w:id="0">
    <w:p w:rsidR="001920CD" w:rsidRDefault="00192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C51600">
      <w:rPr>
        <w:shadow/>
        <w:sz w:val="24"/>
        <w:szCs w:val="24"/>
      </w:rPr>
      <w:t>1</w:t>
    </w:r>
    <w:r w:rsidR="008E3CCE">
      <w:rPr>
        <w:shadow/>
        <w:sz w:val="24"/>
        <w:szCs w:val="24"/>
      </w:rPr>
      <w:t>4</w:t>
    </w:r>
    <w:r w:rsidR="007E37B1">
      <w:rPr>
        <w:shadow/>
        <w:sz w:val="24"/>
        <w:szCs w:val="24"/>
      </w:rPr>
      <w:t>3</w:t>
    </w:r>
  </w:p>
  <w:p w:rsidR="00CE7555" w:rsidRPr="005D1DE4" w:rsidRDefault="00187A37" w:rsidP="00CE7555">
    <w:pPr>
      <w:pStyle w:val="Cabealho"/>
      <w:jc w:val="right"/>
    </w:pPr>
    <w:r w:rsidRPr="003C0554">
      <w:rPr>
        <w:noProof/>
      </w:rPr>
      <w:pict>
        <v:line id="_x0000_s2049" style="position:absolute;left:0;text-align:left;flip:x;z-index:251657216" from=".9pt,10.15pt" to="497.7pt,10.15pt" o:allowincell="f" strokecolor="#969696"/>
      </w:pict>
    </w:r>
    <w:r w:rsidR="00DB0223" w:rsidRPr="003C0554">
      <w:rPr>
        <w:iCs/>
      </w:rPr>
      <w:t xml:space="preserve"> </w:t>
    </w:r>
    <w:r w:rsidR="00494DD1">
      <w:rPr>
        <w:i/>
        <w:iCs/>
      </w:rPr>
      <w:t>Período:</w:t>
    </w:r>
    <w:r w:rsidR="009802D2">
      <w:rPr>
        <w:i/>
        <w:iCs/>
      </w:rPr>
      <w:t xml:space="preserve"> </w:t>
    </w:r>
    <w:r w:rsidR="00A81F5B">
      <w:rPr>
        <w:i/>
        <w:iCs/>
      </w:rPr>
      <w:t>2</w:t>
    </w:r>
    <w:r w:rsidR="007E37B1">
      <w:rPr>
        <w:i/>
        <w:iCs/>
      </w:rPr>
      <w:t>3</w:t>
    </w:r>
    <w:r w:rsidR="00A81F5B">
      <w:rPr>
        <w:i/>
        <w:iCs/>
      </w:rPr>
      <w:t xml:space="preserve"> </w:t>
    </w:r>
    <w:r w:rsidR="007E37B1">
      <w:rPr>
        <w:i/>
        <w:iCs/>
      </w:rPr>
      <w:t xml:space="preserve">de agosto a 6 de setembro </w:t>
    </w:r>
    <w:r w:rsidR="00F907EB">
      <w:rPr>
        <w:i/>
        <w:iCs/>
      </w:rPr>
      <w:t xml:space="preserve"> </w:t>
    </w:r>
    <w:r w:rsidR="000E5C57">
      <w:rPr>
        <w:i/>
        <w:iCs/>
      </w:rPr>
      <w:t>d</w:t>
    </w:r>
    <w:r w:rsidR="00971E5F">
      <w:rPr>
        <w:i/>
        <w:iCs/>
      </w:rPr>
      <w:t>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C51600">
      <w:rPr>
        <w:b/>
        <w:sz w:val="40"/>
        <w:szCs w:val="40"/>
      </w:rPr>
      <w:t>1</w:t>
    </w:r>
    <w:r w:rsidR="00393131">
      <w:rPr>
        <w:b/>
        <w:sz w:val="40"/>
        <w:szCs w:val="40"/>
      </w:rPr>
      <w:t>4</w:t>
    </w:r>
    <w:r w:rsidR="007E37B1">
      <w:rPr>
        <w:b/>
        <w:sz w:val="40"/>
        <w:szCs w:val="40"/>
      </w:rPr>
      <w:t>3</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8E3CCE" w:rsidRPr="009B320F">
      <w:rPr>
        <w:i/>
        <w:iCs/>
      </w:rPr>
      <w:t xml:space="preserve"> </w:t>
    </w:r>
    <w:r w:rsidR="00A81F5B">
      <w:rPr>
        <w:i/>
        <w:iCs/>
      </w:rPr>
      <w:t>2</w:t>
    </w:r>
    <w:r w:rsidR="007E37B1">
      <w:rPr>
        <w:i/>
        <w:iCs/>
      </w:rPr>
      <w:t>3</w:t>
    </w:r>
    <w:r w:rsidR="00A81F5B">
      <w:rPr>
        <w:i/>
        <w:iCs/>
      </w:rPr>
      <w:t xml:space="preserve"> </w:t>
    </w:r>
    <w:r w:rsidR="008E3CCE" w:rsidRPr="009B320F">
      <w:rPr>
        <w:i/>
        <w:iCs/>
      </w:rPr>
      <w:t>de agosto</w:t>
    </w:r>
    <w:r w:rsidR="007E37B1">
      <w:rPr>
        <w:i/>
        <w:iCs/>
      </w:rPr>
      <w:t xml:space="preserve"> a 6 de setembro</w:t>
    </w:r>
    <w:r w:rsidR="000E5C57" w:rsidRPr="009B320F">
      <w:rPr>
        <w:i/>
        <w:iCs/>
      </w:rPr>
      <w:t xml:space="preserve"> </w:t>
    </w:r>
    <w:r w:rsidR="004A094C" w:rsidRPr="009B320F">
      <w:rPr>
        <w:i/>
        <w:iCs/>
      </w:rPr>
      <w:t>de 201</w:t>
    </w:r>
    <w:r w:rsidR="000E5C57" w:rsidRPr="009B320F">
      <w:rPr>
        <w:i/>
        <w:iCs/>
      </w:rPr>
      <w:t>6</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1967"/>
    <w:rsid w:val="000228E6"/>
    <w:rsid w:val="000249BA"/>
    <w:rsid w:val="00024CE9"/>
    <w:rsid w:val="00032056"/>
    <w:rsid w:val="000322FB"/>
    <w:rsid w:val="000332F1"/>
    <w:rsid w:val="000425FC"/>
    <w:rsid w:val="00050E85"/>
    <w:rsid w:val="0005125E"/>
    <w:rsid w:val="00055A9D"/>
    <w:rsid w:val="00056752"/>
    <w:rsid w:val="0005765E"/>
    <w:rsid w:val="00057B87"/>
    <w:rsid w:val="0006020E"/>
    <w:rsid w:val="00064486"/>
    <w:rsid w:val="00065048"/>
    <w:rsid w:val="000733B4"/>
    <w:rsid w:val="00073643"/>
    <w:rsid w:val="00073880"/>
    <w:rsid w:val="00075BDB"/>
    <w:rsid w:val="00080C40"/>
    <w:rsid w:val="00080F10"/>
    <w:rsid w:val="000858FB"/>
    <w:rsid w:val="0009237D"/>
    <w:rsid w:val="00093AE9"/>
    <w:rsid w:val="00093BA8"/>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11575C"/>
    <w:rsid w:val="0011692E"/>
    <w:rsid w:val="00122C2A"/>
    <w:rsid w:val="001257D7"/>
    <w:rsid w:val="00137564"/>
    <w:rsid w:val="00137DC1"/>
    <w:rsid w:val="00141630"/>
    <w:rsid w:val="00142C28"/>
    <w:rsid w:val="00152238"/>
    <w:rsid w:val="0015612D"/>
    <w:rsid w:val="00161CDE"/>
    <w:rsid w:val="00163142"/>
    <w:rsid w:val="001648F5"/>
    <w:rsid w:val="00176D15"/>
    <w:rsid w:val="00183803"/>
    <w:rsid w:val="00184590"/>
    <w:rsid w:val="00187A37"/>
    <w:rsid w:val="00187BEF"/>
    <w:rsid w:val="0019151D"/>
    <w:rsid w:val="001920CD"/>
    <w:rsid w:val="00193208"/>
    <w:rsid w:val="001932B7"/>
    <w:rsid w:val="00197B15"/>
    <w:rsid w:val="001B2C08"/>
    <w:rsid w:val="001C04D2"/>
    <w:rsid w:val="001C21FB"/>
    <w:rsid w:val="001C271F"/>
    <w:rsid w:val="001C6C93"/>
    <w:rsid w:val="001D4CF9"/>
    <w:rsid w:val="001D5AB0"/>
    <w:rsid w:val="001D6AC9"/>
    <w:rsid w:val="001D757D"/>
    <w:rsid w:val="001E14A9"/>
    <w:rsid w:val="001E14BB"/>
    <w:rsid w:val="001E3B29"/>
    <w:rsid w:val="001E4B57"/>
    <w:rsid w:val="001E5BD1"/>
    <w:rsid w:val="001E713B"/>
    <w:rsid w:val="001E79B4"/>
    <w:rsid w:val="001F030F"/>
    <w:rsid w:val="001F45E0"/>
    <w:rsid w:val="00204C97"/>
    <w:rsid w:val="00206810"/>
    <w:rsid w:val="002168DE"/>
    <w:rsid w:val="00224AC2"/>
    <w:rsid w:val="00230183"/>
    <w:rsid w:val="0023559D"/>
    <w:rsid w:val="002402B0"/>
    <w:rsid w:val="0024400E"/>
    <w:rsid w:val="002449F9"/>
    <w:rsid w:val="00255732"/>
    <w:rsid w:val="00257B4A"/>
    <w:rsid w:val="00260B37"/>
    <w:rsid w:val="002635ED"/>
    <w:rsid w:val="002662BA"/>
    <w:rsid w:val="00266D49"/>
    <w:rsid w:val="00271C5C"/>
    <w:rsid w:val="00271E67"/>
    <w:rsid w:val="002730B5"/>
    <w:rsid w:val="002766D5"/>
    <w:rsid w:val="00276EA0"/>
    <w:rsid w:val="00280594"/>
    <w:rsid w:val="00285064"/>
    <w:rsid w:val="002A219D"/>
    <w:rsid w:val="002A521A"/>
    <w:rsid w:val="002A546D"/>
    <w:rsid w:val="002B4738"/>
    <w:rsid w:val="002B6377"/>
    <w:rsid w:val="002C2904"/>
    <w:rsid w:val="002E78CB"/>
    <w:rsid w:val="002F28E5"/>
    <w:rsid w:val="003074FC"/>
    <w:rsid w:val="0033397A"/>
    <w:rsid w:val="00340D16"/>
    <w:rsid w:val="00340E8D"/>
    <w:rsid w:val="00342846"/>
    <w:rsid w:val="003503FC"/>
    <w:rsid w:val="00352B27"/>
    <w:rsid w:val="0035374D"/>
    <w:rsid w:val="00363255"/>
    <w:rsid w:val="0036325E"/>
    <w:rsid w:val="003671FE"/>
    <w:rsid w:val="003708FD"/>
    <w:rsid w:val="003745DE"/>
    <w:rsid w:val="0037667D"/>
    <w:rsid w:val="00380212"/>
    <w:rsid w:val="00383A89"/>
    <w:rsid w:val="00384075"/>
    <w:rsid w:val="003908C5"/>
    <w:rsid w:val="00393131"/>
    <w:rsid w:val="00396053"/>
    <w:rsid w:val="003A1F0A"/>
    <w:rsid w:val="003A4086"/>
    <w:rsid w:val="003A5E5B"/>
    <w:rsid w:val="003B045C"/>
    <w:rsid w:val="003B0538"/>
    <w:rsid w:val="003B0A59"/>
    <w:rsid w:val="003B3EB5"/>
    <w:rsid w:val="003B4E23"/>
    <w:rsid w:val="003B767E"/>
    <w:rsid w:val="003C01E8"/>
    <w:rsid w:val="003C0554"/>
    <w:rsid w:val="003C1AB7"/>
    <w:rsid w:val="003C6FE7"/>
    <w:rsid w:val="003D032E"/>
    <w:rsid w:val="003D4205"/>
    <w:rsid w:val="003E1C53"/>
    <w:rsid w:val="003F2078"/>
    <w:rsid w:val="004034A8"/>
    <w:rsid w:val="00416D9A"/>
    <w:rsid w:val="00423641"/>
    <w:rsid w:val="0042772A"/>
    <w:rsid w:val="004323B0"/>
    <w:rsid w:val="0044014F"/>
    <w:rsid w:val="00444E88"/>
    <w:rsid w:val="004477EC"/>
    <w:rsid w:val="00450BAD"/>
    <w:rsid w:val="0045657C"/>
    <w:rsid w:val="00457A40"/>
    <w:rsid w:val="004655CC"/>
    <w:rsid w:val="00466DB9"/>
    <w:rsid w:val="00470EF8"/>
    <w:rsid w:val="004731B7"/>
    <w:rsid w:val="00486521"/>
    <w:rsid w:val="00486DFC"/>
    <w:rsid w:val="004922D6"/>
    <w:rsid w:val="00494DD1"/>
    <w:rsid w:val="004A094C"/>
    <w:rsid w:val="004A14FC"/>
    <w:rsid w:val="004A5264"/>
    <w:rsid w:val="004A5908"/>
    <w:rsid w:val="004A7C59"/>
    <w:rsid w:val="004B21AD"/>
    <w:rsid w:val="004B63FB"/>
    <w:rsid w:val="004C011C"/>
    <w:rsid w:val="004C14EA"/>
    <w:rsid w:val="004C2118"/>
    <w:rsid w:val="004C2612"/>
    <w:rsid w:val="004C749C"/>
    <w:rsid w:val="004C759F"/>
    <w:rsid w:val="004D6000"/>
    <w:rsid w:val="004D6415"/>
    <w:rsid w:val="004D71E8"/>
    <w:rsid w:val="004E393E"/>
    <w:rsid w:val="004E4507"/>
    <w:rsid w:val="004E4619"/>
    <w:rsid w:val="004F0A7D"/>
    <w:rsid w:val="004F5040"/>
    <w:rsid w:val="00513789"/>
    <w:rsid w:val="0051538E"/>
    <w:rsid w:val="00517E01"/>
    <w:rsid w:val="00521EEC"/>
    <w:rsid w:val="00543B94"/>
    <w:rsid w:val="005460BD"/>
    <w:rsid w:val="005521C8"/>
    <w:rsid w:val="00553197"/>
    <w:rsid w:val="0055409E"/>
    <w:rsid w:val="00554139"/>
    <w:rsid w:val="00556367"/>
    <w:rsid w:val="00556B35"/>
    <w:rsid w:val="00573E13"/>
    <w:rsid w:val="005811A4"/>
    <w:rsid w:val="00584F82"/>
    <w:rsid w:val="00591DFA"/>
    <w:rsid w:val="005A30AA"/>
    <w:rsid w:val="005A5695"/>
    <w:rsid w:val="005B0A1C"/>
    <w:rsid w:val="005B22CE"/>
    <w:rsid w:val="005B2F00"/>
    <w:rsid w:val="005B3792"/>
    <w:rsid w:val="005B57DE"/>
    <w:rsid w:val="005C1886"/>
    <w:rsid w:val="005C761E"/>
    <w:rsid w:val="005D0E5F"/>
    <w:rsid w:val="005D1DE4"/>
    <w:rsid w:val="005E35BD"/>
    <w:rsid w:val="005E3D4D"/>
    <w:rsid w:val="005E7FD1"/>
    <w:rsid w:val="005F0545"/>
    <w:rsid w:val="005F2858"/>
    <w:rsid w:val="006002E3"/>
    <w:rsid w:val="006145AC"/>
    <w:rsid w:val="00615F98"/>
    <w:rsid w:val="006207F5"/>
    <w:rsid w:val="00621F9C"/>
    <w:rsid w:val="00631166"/>
    <w:rsid w:val="00631F1C"/>
    <w:rsid w:val="006366A4"/>
    <w:rsid w:val="00643B60"/>
    <w:rsid w:val="006456B1"/>
    <w:rsid w:val="006564EC"/>
    <w:rsid w:val="0066084C"/>
    <w:rsid w:val="00661B23"/>
    <w:rsid w:val="00672CF9"/>
    <w:rsid w:val="00672E11"/>
    <w:rsid w:val="0068273B"/>
    <w:rsid w:val="00691234"/>
    <w:rsid w:val="00692202"/>
    <w:rsid w:val="006931CC"/>
    <w:rsid w:val="006947F2"/>
    <w:rsid w:val="00697919"/>
    <w:rsid w:val="006B3FCF"/>
    <w:rsid w:val="006B46CA"/>
    <w:rsid w:val="006C0391"/>
    <w:rsid w:val="006C28B3"/>
    <w:rsid w:val="006D1F66"/>
    <w:rsid w:val="006D306E"/>
    <w:rsid w:val="006D4497"/>
    <w:rsid w:val="006E1A9C"/>
    <w:rsid w:val="006F6C15"/>
    <w:rsid w:val="00700B1B"/>
    <w:rsid w:val="007029CF"/>
    <w:rsid w:val="0070727E"/>
    <w:rsid w:val="00710D3A"/>
    <w:rsid w:val="0071315F"/>
    <w:rsid w:val="00720057"/>
    <w:rsid w:val="00721942"/>
    <w:rsid w:val="00722BE7"/>
    <w:rsid w:val="00732DF2"/>
    <w:rsid w:val="007403B3"/>
    <w:rsid w:val="007614F1"/>
    <w:rsid w:val="007618C5"/>
    <w:rsid w:val="00764066"/>
    <w:rsid w:val="00766B7B"/>
    <w:rsid w:val="0077600F"/>
    <w:rsid w:val="00776118"/>
    <w:rsid w:val="00781C77"/>
    <w:rsid w:val="00796745"/>
    <w:rsid w:val="007B0F83"/>
    <w:rsid w:val="007C0A4F"/>
    <w:rsid w:val="007D29A1"/>
    <w:rsid w:val="007D2EE9"/>
    <w:rsid w:val="007D469A"/>
    <w:rsid w:val="007E094E"/>
    <w:rsid w:val="007E0EA7"/>
    <w:rsid w:val="007E37B1"/>
    <w:rsid w:val="007E3F23"/>
    <w:rsid w:val="007F142E"/>
    <w:rsid w:val="007F66BC"/>
    <w:rsid w:val="007F7B5E"/>
    <w:rsid w:val="00800B97"/>
    <w:rsid w:val="00801246"/>
    <w:rsid w:val="00802B1A"/>
    <w:rsid w:val="00805CD2"/>
    <w:rsid w:val="0080615C"/>
    <w:rsid w:val="0081027F"/>
    <w:rsid w:val="0081742D"/>
    <w:rsid w:val="00817AB1"/>
    <w:rsid w:val="00821F4D"/>
    <w:rsid w:val="00823906"/>
    <w:rsid w:val="008409D3"/>
    <w:rsid w:val="0084319F"/>
    <w:rsid w:val="00844374"/>
    <w:rsid w:val="00845559"/>
    <w:rsid w:val="00854DB8"/>
    <w:rsid w:val="00854EF2"/>
    <w:rsid w:val="00855623"/>
    <w:rsid w:val="00855D99"/>
    <w:rsid w:val="0086211B"/>
    <w:rsid w:val="008622CF"/>
    <w:rsid w:val="008627C6"/>
    <w:rsid w:val="00863B86"/>
    <w:rsid w:val="008652A2"/>
    <w:rsid w:val="008706CD"/>
    <w:rsid w:val="00871F69"/>
    <w:rsid w:val="008842D0"/>
    <w:rsid w:val="00884AC4"/>
    <w:rsid w:val="0088579D"/>
    <w:rsid w:val="008A1A58"/>
    <w:rsid w:val="008A4AFF"/>
    <w:rsid w:val="008A5FA7"/>
    <w:rsid w:val="008A68E7"/>
    <w:rsid w:val="008A7953"/>
    <w:rsid w:val="008B1828"/>
    <w:rsid w:val="008B3081"/>
    <w:rsid w:val="008B32D4"/>
    <w:rsid w:val="008C7AD0"/>
    <w:rsid w:val="008D0020"/>
    <w:rsid w:val="008D3C38"/>
    <w:rsid w:val="008D3C4B"/>
    <w:rsid w:val="008D6A05"/>
    <w:rsid w:val="008E2AE5"/>
    <w:rsid w:val="008E3CCE"/>
    <w:rsid w:val="008E3F89"/>
    <w:rsid w:val="008F26CB"/>
    <w:rsid w:val="008F6509"/>
    <w:rsid w:val="008F79D9"/>
    <w:rsid w:val="009027C8"/>
    <w:rsid w:val="00922D1B"/>
    <w:rsid w:val="0093467A"/>
    <w:rsid w:val="009353F1"/>
    <w:rsid w:val="0094155C"/>
    <w:rsid w:val="00951531"/>
    <w:rsid w:val="00953B29"/>
    <w:rsid w:val="00960A3B"/>
    <w:rsid w:val="0096375C"/>
    <w:rsid w:val="00967DE0"/>
    <w:rsid w:val="00971E07"/>
    <w:rsid w:val="00971E5F"/>
    <w:rsid w:val="009802D2"/>
    <w:rsid w:val="00980944"/>
    <w:rsid w:val="00986D77"/>
    <w:rsid w:val="00993A6E"/>
    <w:rsid w:val="009943EC"/>
    <w:rsid w:val="009A32D5"/>
    <w:rsid w:val="009A5D37"/>
    <w:rsid w:val="009A6BD9"/>
    <w:rsid w:val="009B320F"/>
    <w:rsid w:val="009B6012"/>
    <w:rsid w:val="009C102D"/>
    <w:rsid w:val="009C2A4F"/>
    <w:rsid w:val="009D4C59"/>
    <w:rsid w:val="009D7F91"/>
    <w:rsid w:val="009E20EF"/>
    <w:rsid w:val="009E26EE"/>
    <w:rsid w:val="009F1C7B"/>
    <w:rsid w:val="009F21A2"/>
    <w:rsid w:val="00A00D70"/>
    <w:rsid w:val="00A00DEE"/>
    <w:rsid w:val="00A32FBF"/>
    <w:rsid w:val="00A407EA"/>
    <w:rsid w:val="00A51749"/>
    <w:rsid w:val="00A521B6"/>
    <w:rsid w:val="00A56962"/>
    <w:rsid w:val="00A6382F"/>
    <w:rsid w:val="00A6412C"/>
    <w:rsid w:val="00A75419"/>
    <w:rsid w:val="00A76661"/>
    <w:rsid w:val="00A76D2A"/>
    <w:rsid w:val="00A81F5B"/>
    <w:rsid w:val="00A82081"/>
    <w:rsid w:val="00A8557E"/>
    <w:rsid w:val="00A903E4"/>
    <w:rsid w:val="00A91181"/>
    <w:rsid w:val="00A935AC"/>
    <w:rsid w:val="00AA3DE0"/>
    <w:rsid w:val="00AB299E"/>
    <w:rsid w:val="00AB507C"/>
    <w:rsid w:val="00AC096E"/>
    <w:rsid w:val="00AD6E76"/>
    <w:rsid w:val="00AE3EAA"/>
    <w:rsid w:val="00AE5EDF"/>
    <w:rsid w:val="00AE758A"/>
    <w:rsid w:val="00B06261"/>
    <w:rsid w:val="00B108BA"/>
    <w:rsid w:val="00B12273"/>
    <w:rsid w:val="00B14F7F"/>
    <w:rsid w:val="00B16EB9"/>
    <w:rsid w:val="00B22F24"/>
    <w:rsid w:val="00B22F53"/>
    <w:rsid w:val="00B24DBE"/>
    <w:rsid w:val="00B335D5"/>
    <w:rsid w:val="00B34EB2"/>
    <w:rsid w:val="00B4728A"/>
    <w:rsid w:val="00B517C3"/>
    <w:rsid w:val="00B518B2"/>
    <w:rsid w:val="00B526EA"/>
    <w:rsid w:val="00B536FE"/>
    <w:rsid w:val="00B60670"/>
    <w:rsid w:val="00B73FFA"/>
    <w:rsid w:val="00B74A6E"/>
    <w:rsid w:val="00B82CC4"/>
    <w:rsid w:val="00B838C3"/>
    <w:rsid w:val="00B874F1"/>
    <w:rsid w:val="00BC1DE7"/>
    <w:rsid w:val="00BC209E"/>
    <w:rsid w:val="00BC2C67"/>
    <w:rsid w:val="00BC54BC"/>
    <w:rsid w:val="00BC5AEE"/>
    <w:rsid w:val="00BD2A95"/>
    <w:rsid w:val="00BD2CA9"/>
    <w:rsid w:val="00BD6029"/>
    <w:rsid w:val="00BD75B0"/>
    <w:rsid w:val="00BE0541"/>
    <w:rsid w:val="00BE1ADB"/>
    <w:rsid w:val="00BE3152"/>
    <w:rsid w:val="00BF0693"/>
    <w:rsid w:val="00C028BC"/>
    <w:rsid w:val="00C070DE"/>
    <w:rsid w:val="00C232C2"/>
    <w:rsid w:val="00C239E0"/>
    <w:rsid w:val="00C26DFB"/>
    <w:rsid w:val="00C273FA"/>
    <w:rsid w:val="00C30D06"/>
    <w:rsid w:val="00C42067"/>
    <w:rsid w:val="00C432D0"/>
    <w:rsid w:val="00C4398E"/>
    <w:rsid w:val="00C44218"/>
    <w:rsid w:val="00C51600"/>
    <w:rsid w:val="00C54185"/>
    <w:rsid w:val="00C57E92"/>
    <w:rsid w:val="00C60B4A"/>
    <w:rsid w:val="00C65BDB"/>
    <w:rsid w:val="00C66C95"/>
    <w:rsid w:val="00C6738C"/>
    <w:rsid w:val="00C71A3B"/>
    <w:rsid w:val="00C76CFA"/>
    <w:rsid w:val="00C819C8"/>
    <w:rsid w:val="00C8747B"/>
    <w:rsid w:val="00C87D5B"/>
    <w:rsid w:val="00C94FF6"/>
    <w:rsid w:val="00C963F8"/>
    <w:rsid w:val="00C96BB1"/>
    <w:rsid w:val="00CA2F80"/>
    <w:rsid w:val="00CA3ECF"/>
    <w:rsid w:val="00CB0C2A"/>
    <w:rsid w:val="00CB3B98"/>
    <w:rsid w:val="00CC4B2B"/>
    <w:rsid w:val="00CC579C"/>
    <w:rsid w:val="00CC5F5F"/>
    <w:rsid w:val="00CC6BEC"/>
    <w:rsid w:val="00CC743B"/>
    <w:rsid w:val="00CD3460"/>
    <w:rsid w:val="00CD44C9"/>
    <w:rsid w:val="00CD4B61"/>
    <w:rsid w:val="00CD5043"/>
    <w:rsid w:val="00CE066A"/>
    <w:rsid w:val="00CE2928"/>
    <w:rsid w:val="00CE314A"/>
    <w:rsid w:val="00CE5865"/>
    <w:rsid w:val="00CE7555"/>
    <w:rsid w:val="00CF3D9D"/>
    <w:rsid w:val="00CF6B77"/>
    <w:rsid w:val="00D00018"/>
    <w:rsid w:val="00D01C50"/>
    <w:rsid w:val="00D11B24"/>
    <w:rsid w:val="00D11C18"/>
    <w:rsid w:val="00D133C8"/>
    <w:rsid w:val="00D14DB8"/>
    <w:rsid w:val="00D17339"/>
    <w:rsid w:val="00D244D5"/>
    <w:rsid w:val="00D2776A"/>
    <w:rsid w:val="00D4021B"/>
    <w:rsid w:val="00D413DB"/>
    <w:rsid w:val="00D420E2"/>
    <w:rsid w:val="00D4459D"/>
    <w:rsid w:val="00D44B24"/>
    <w:rsid w:val="00D573F9"/>
    <w:rsid w:val="00D6058B"/>
    <w:rsid w:val="00D608E5"/>
    <w:rsid w:val="00D62D9E"/>
    <w:rsid w:val="00D63EC5"/>
    <w:rsid w:val="00D64BC3"/>
    <w:rsid w:val="00D72C05"/>
    <w:rsid w:val="00D73575"/>
    <w:rsid w:val="00D735BF"/>
    <w:rsid w:val="00D737B6"/>
    <w:rsid w:val="00D77672"/>
    <w:rsid w:val="00D80222"/>
    <w:rsid w:val="00D847CF"/>
    <w:rsid w:val="00D87489"/>
    <w:rsid w:val="00DA0A99"/>
    <w:rsid w:val="00DA0A9D"/>
    <w:rsid w:val="00DA54D4"/>
    <w:rsid w:val="00DA7603"/>
    <w:rsid w:val="00DA7E39"/>
    <w:rsid w:val="00DA7EDE"/>
    <w:rsid w:val="00DB0223"/>
    <w:rsid w:val="00DB047C"/>
    <w:rsid w:val="00DC0AB5"/>
    <w:rsid w:val="00DC3451"/>
    <w:rsid w:val="00DC50EB"/>
    <w:rsid w:val="00DC7F71"/>
    <w:rsid w:val="00DD19F4"/>
    <w:rsid w:val="00DD3FA0"/>
    <w:rsid w:val="00DE5B2D"/>
    <w:rsid w:val="00DE5CE9"/>
    <w:rsid w:val="00DF45BB"/>
    <w:rsid w:val="00E006DC"/>
    <w:rsid w:val="00E03064"/>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32CC"/>
    <w:rsid w:val="00E47FF2"/>
    <w:rsid w:val="00E50711"/>
    <w:rsid w:val="00E52522"/>
    <w:rsid w:val="00E531C9"/>
    <w:rsid w:val="00E60AD3"/>
    <w:rsid w:val="00E60EDA"/>
    <w:rsid w:val="00E62BBC"/>
    <w:rsid w:val="00E774F6"/>
    <w:rsid w:val="00E9503C"/>
    <w:rsid w:val="00E956D9"/>
    <w:rsid w:val="00EA1958"/>
    <w:rsid w:val="00EA29F5"/>
    <w:rsid w:val="00EA482D"/>
    <w:rsid w:val="00EB5FE6"/>
    <w:rsid w:val="00EB61A5"/>
    <w:rsid w:val="00EB6C1B"/>
    <w:rsid w:val="00EB7A09"/>
    <w:rsid w:val="00EC0EDC"/>
    <w:rsid w:val="00EC5AF4"/>
    <w:rsid w:val="00EC7E0B"/>
    <w:rsid w:val="00ED661C"/>
    <w:rsid w:val="00EE41B5"/>
    <w:rsid w:val="00EE66C9"/>
    <w:rsid w:val="00EF10DB"/>
    <w:rsid w:val="00EF11A9"/>
    <w:rsid w:val="00EF38E1"/>
    <w:rsid w:val="00EF749A"/>
    <w:rsid w:val="00EF771E"/>
    <w:rsid w:val="00F02565"/>
    <w:rsid w:val="00F026EC"/>
    <w:rsid w:val="00F05542"/>
    <w:rsid w:val="00F06855"/>
    <w:rsid w:val="00F17A2C"/>
    <w:rsid w:val="00F21A70"/>
    <w:rsid w:val="00F26708"/>
    <w:rsid w:val="00F30FF2"/>
    <w:rsid w:val="00F37F29"/>
    <w:rsid w:val="00F42243"/>
    <w:rsid w:val="00F45608"/>
    <w:rsid w:val="00F511EE"/>
    <w:rsid w:val="00F55574"/>
    <w:rsid w:val="00F558E7"/>
    <w:rsid w:val="00F62016"/>
    <w:rsid w:val="00F63F44"/>
    <w:rsid w:val="00F6746D"/>
    <w:rsid w:val="00F675D5"/>
    <w:rsid w:val="00F753D1"/>
    <w:rsid w:val="00F7766D"/>
    <w:rsid w:val="00F811CD"/>
    <w:rsid w:val="00F82D8F"/>
    <w:rsid w:val="00F83F62"/>
    <w:rsid w:val="00F907EB"/>
    <w:rsid w:val="00F9711D"/>
    <w:rsid w:val="00FA011F"/>
    <w:rsid w:val="00FA3E3A"/>
    <w:rsid w:val="00FA7544"/>
    <w:rsid w:val="00FA75E0"/>
    <w:rsid w:val="00FA7771"/>
    <w:rsid w:val="00FB0DC9"/>
    <w:rsid w:val="00FB20B1"/>
    <w:rsid w:val="00FB3AB4"/>
    <w:rsid w:val="00FB6188"/>
    <w:rsid w:val="00FC35EC"/>
    <w:rsid w:val="00FC56A4"/>
    <w:rsid w:val="00FD029A"/>
    <w:rsid w:val="00FD3D06"/>
    <w:rsid w:val="00FD5662"/>
    <w:rsid w:val="00FD72B6"/>
    <w:rsid w:val="00FE00AD"/>
    <w:rsid w:val="00FE206E"/>
    <w:rsid w:val="00FE421F"/>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4852&amp;digitoTst=86&amp;anoTst=2016&amp;orgaoTst=5&amp;tribunalTst=00&amp;varaTst=000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licacao4.tst.jus.br/consultaProcessual/consultaTstNumUnica.do?consulta=Consultar&amp;conscsjt=&amp;numeroTst=7213&amp;digitoTst=61&amp;anoTst=2012&amp;orgaoTst=5&amp;tribunalTst=02&amp;varaTst=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206&amp;digitoTst=59&amp;anoTst=2013&amp;orgaoTst=5&amp;tribunalTst=10&amp;varaTst=000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plicacao4.tst.jus.br/consultaProcessual/consultaTstNumUnica.do?consulta=Consultar&amp;conscsjt=&amp;numeroTst=2220&amp;digitoTst=02&amp;anoTst=2013&amp;orgaoTst=5&amp;tribunalTst=03&amp;varaTst=0003" TargetMode="Externa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166&amp;digitoTst=46&amp;anoTst=2015&amp;orgaoTst=5&amp;tribunalTst=23&amp;varaTst=000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80567-7883-44EB-BE26-C2E40AF7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1210</Words>
  <Characters>6536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7731</CharactersWithSpaces>
  <SharedDoc>false</SharedDoc>
  <HLinks>
    <vt:vector size="30" baseType="variant">
      <vt:variant>
        <vt:i4>2424949</vt:i4>
      </vt:variant>
      <vt:variant>
        <vt:i4>12</vt:i4>
      </vt:variant>
      <vt:variant>
        <vt:i4>0</vt:i4>
      </vt:variant>
      <vt:variant>
        <vt:i4>5</vt:i4>
      </vt:variant>
      <vt:variant>
        <vt:lpwstr>http://aplicacao4.tst.jus.br/consultaProcessual/consultaTstNumUnica.do?consulta=Consultar&amp;conscsjt=&amp;numeroTst=7213&amp;digitoTst=61&amp;anoTst=2012&amp;orgaoTst=5&amp;tribunalTst=02&amp;varaTst=0000</vt:lpwstr>
      </vt:variant>
      <vt:variant>
        <vt:lpwstr/>
      </vt:variant>
      <vt:variant>
        <vt:i4>5570575</vt:i4>
      </vt:variant>
      <vt:variant>
        <vt:i4>9</vt:i4>
      </vt:variant>
      <vt:variant>
        <vt:i4>0</vt:i4>
      </vt:variant>
      <vt:variant>
        <vt:i4>5</vt:i4>
      </vt:variant>
      <vt:variant>
        <vt:lpwstr>http://aplicacao4.tst.jus.br/consultaProcessual/consultaTstNumUnica.do?consulta=Consultar&amp;conscsjt=&amp;numeroTst=206&amp;digitoTst=59&amp;anoTst=2013&amp;orgaoTst=5&amp;tribunalTst=10&amp;varaTst=0000</vt:lpwstr>
      </vt:variant>
      <vt:variant>
        <vt:lpwstr/>
      </vt:variant>
      <vt:variant>
        <vt:i4>2293872</vt:i4>
      </vt:variant>
      <vt:variant>
        <vt:i4>6</vt:i4>
      </vt:variant>
      <vt:variant>
        <vt:i4>0</vt:i4>
      </vt:variant>
      <vt:variant>
        <vt:i4>5</vt:i4>
      </vt:variant>
      <vt:variant>
        <vt:lpwstr>http://aplicacao4.tst.jus.br/consultaProcessual/consultaTstNumUnica.do?consulta=Consultar&amp;conscsjt=&amp;numeroTst=2220&amp;digitoTst=02&amp;anoTst=2013&amp;orgaoTst=5&amp;tribunalTst=03&amp;varaTst=0003</vt:lpwstr>
      </vt:variant>
      <vt:variant>
        <vt:lpwstr/>
      </vt:variant>
      <vt:variant>
        <vt:i4>5832718</vt:i4>
      </vt:variant>
      <vt:variant>
        <vt:i4>3</vt:i4>
      </vt:variant>
      <vt:variant>
        <vt:i4>0</vt:i4>
      </vt:variant>
      <vt:variant>
        <vt:i4>5</vt:i4>
      </vt:variant>
      <vt:variant>
        <vt:lpwstr>http://aplicacao4.tst.jus.br/consultaProcessual/consultaTstNumUnica.do?consulta=Consultar&amp;conscsjt=&amp;numeroTst=166&amp;digitoTst=46&amp;anoTst=2015&amp;orgaoTst=5&amp;tribunalTst=23&amp;varaTst=0000</vt:lpwstr>
      </vt:variant>
      <vt:variant>
        <vt:lpwstr/>
      </vt:variant>
      <vt:variant>
        <vt:i4>2097267</vt:i4>
      </vt:variant>
      <vt:variant>
        <vt:i4>0</vt:i4>
      </vt:variant>
      <vt:variant>
        <vt:i4>0</vt:i4>
      </vt:variant>
      <vt:variant>
        <vt:i4>5</vt:i4>
      </vt:variant>
      <vt:variant>
        <vt:lpwstr>http://aplicacao4.tst.jus.br/consultaProcessual/consultaTstNumUnica.do?consulta=Consultar&amp;conscsjt=&amp;numeroTst=4852&amp;digitoTst=86&amp;anoTst=2016&amp;orgaoTst=5&amp;tribunalTst=00&amp;varaTst=0000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2016-08-23T18:57:00Z</cp:lastPrinted>
  <dcterms:created xsi:type="dcterms:W3CDTF">2017-05-18T23:09:00Z</dcterms:created>
  <dcterms:modified xsi:type="dcterms:W3CDTF">2017-05-18T23:09:00Z</dcterms:modified>
</cp:coreProperties>
</file>