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38" w:type="dxa"/>
        <w:tblInd w:w="70" w:type="dxa"/>
        <w:tblLayout w:type="fixed"/>
        <w:tblCellMar>
          <w:left w:w="70" w:type="dxa"/>
          <w:right w:w="70" w:type="dxa"/>
        </w:tblCellMar>
        <w:tblLook w:val="0000" w:firstRow="0" w:lastRow="0" w:firstColumn="0" w:lastColumn="0" w:noHBand="0" w:noVBand="0"/>
      </w:tblPr>
      <w:tblGrid>
        <w:gridCol w:w="9538"/>
      </w:tblGrid>
      <w:tr w:rsidR="00C26DFB" w:rsidRPr="00CE7555" w:rsidTr="00FB20B1">
        <w:tblPrEx>
          <w:tblCellMar>
            <w:top w:w="0" w:type="dxa"/>
            <w:bottom w:w="0" w:type="dxa"/>
          </w:tblCellMar>
        </w:tblPrEx>
        <w:trPr>
          <w:trHeight w:val="537"/>
        </w:trPr>
        <w:tc>
          <w:tcPr>
            <w:tcW w:w="9538" w:type="dxa"/>
          </w:tcPr>
          <w:p w:rsidR="00C26DFB" w:rsidRDefault="00C26DFB" w:rsidP="00DC50EB">
            <w:pPr>
              <w:pStyle w:val="Cabealho"/>
              <w:tabs>
                <w:tab w:val="clear" w:pos="4419"/>
                <w:tab w:val="clear" w:pos="8838"/>
              </w:tabs>
              <w:jc w:val="both"/>
            </w:pPr>
            <w:bookmarkStart w:id="0" w:name="_GoBack"/>
            <w:bookmarkEnd w:id="0"/>
            <w:r w:rsidRPr="00CE7555">
              <w:t>Este Informativo, elaborado a partir de notas tomadas nas sessões de julgamentos, contém resumos não</w:t>
            </w:r>
            <w:r w:rsidR="00DC50EB" w:rsidRPr="00CE7555">
              <w:t xml:space="preserve"> </w:t>
            </w:r>
            <w:r w:rsidRPr="00CE7555">
              <w:t>oficiais de decisões proferidas pelo Tribunal. A fidelidade dos resumos ao conteúdo efetivo das decisões, embora seja uma das metas perseguidas neste trabalho, somente poderá ser aferida após a sua publicação no Diário</w:t>
            </w:r>
            <w:r w:rsidR="00980944" w:rsidRPr="00CE7555">
              <w:t xml:space="preserve"> Eletrônico </w:t>
            </w:r>
            <w:r w:rsidRPr="00CE7555">
              <w:t>da Justiça</w:t>
            </w:r>
            <w:r w:rsidR="00980944" w:rsidRPr="00CE7555">
              <w:t xml:space="preserve"> do Trabalho</w:t>
            </w:r>
            <w:r w:rsidRPr="00CE7555">
              <w:t>.</w:t>
            </w:r>
          </w:p>
          <w:p w:rsidR="00E531C9" w:rsidRPr="00E531C9" w:rsidRDefault="00E531C9" w:rsidP="00DC50EB">
            <w:pPr>
              <w:pStyle w:val="Cabealho"/>
              <w:tabs>
                <w:tab w:val="clear" w:pos="4419"/>
                <w:tab w:val="clear" w:pos="8838"/>
              </w:tabs>
              <w:jc w:val="both"/>
              <w:rPr>
                <w:sz w:val="10"/>
                <w:szCs w:val="10"/>
              </w:rPr>
            </w:pPr>
          </w:p>
        </w:tc>
      </w:tr>
    </w:tbl>
    <w:p w:rsidR="00E20FC8" w:rsidRPr="00CE7555" w:rsidRDefault="00F7766D" w:rsidP="00E20FC8">
      <w:pPr>
        <w:pStyle w:val="Corpo"/>
        <w:pBdr>
          <w:top w:val="single" w:sz="4" w:space="1" w:color="auto"/>
          <w:left w:val="single" w:sz="4" w:space="4" w:color="auto"/>
          <w:bottom w:val="single" w:sz="4" w:space="1" w:color="auto"/>
          <w:right w:val="single" w:sz="4" w:space="4" w:color="auto"/>
        </w:pBdr>
        <w:shd w:val="solid" w:color="B8CCE4" w:fill="B8CCE4"/>
        <w:tabs>
          <w:tab w:val="center" w:pos="4819"/>
          <w:tab w:val="left" w:pos="6759"/>
        </w:tabs>
        <w:spacing w:line="240" w:lineRule="auto"/>
        <w:ind w:firstLine="0"/>
        <w:jc w:val="center"/>
        <w:rPr>
          <w:rFonts w:ascii="Times New Roman" w:hAnsi="Times New Roman" w:cs="Times New Roman"/>
          <w:b/>
          <w:bCs/>
          <w:shadow/>
          <w:color w:val="auto"/>
          <w:sz w:val="25"/>
          <w:szCs w:val="25"/>
          <w:lang w:val="pt-BR"/>
        </w:rPr>
      </w:pPr>
      <w:r>
        <w:rPr>
          <w:rFonts w:ascii="Times New Roman" w:hAnsi="Times New Roman" w:cs="Times New Roman"/>
          <w:b/>
          <w:bCs/>
          <w:shadow/>
          <w:color w:val="auto"/>
          <w:sz w:val="25"/>
          <w:szCs w:val="25"/>
          <w:lang w:val="pt-BR"/>
        </w:rPr>
        <w:t>TRIBUNAL PLENO</w:t>
      </w:r>
    </w:p>
    <w:p w:rsidR="00340D16" w:rsidRDefault="00340D16" w:rsidP="00340D16">
      <w:pPr>
        <w:jc w:val="both"/>
        <w:rPr>
          <w:sz w:val="24"/>
        </w:rPr>
      </w:pPr>
    </w:p>
    <w:p w:rsidR="00F026EC" w:rsidRDefault="00F026EC" w:rsidP="00F7766D">
      <w:pPr>
        <w:jc w:val="both"/>
        <w:rPr>
          <w:sz w:val="24"/>
          <w:szCs w:val="24"/>
        </w:rPr>
      </w:pPr>
      <w:r w:rsidRPr="00F026EC">
        <w:rPr>
          <w:sz w:val="24"/>
          <w:szCs w:val="24"/>
        </w:rPr>
        <w:t xml:space="preserve">O Tribunal Pleno, na sessão extraordinária do dia </w:t>
      </w:r>
      <w:r>
        <w:rPr>
          <w:sz w:val="24"/>
          <w:szCs w:val="24"/>
        </w:rPr>
        <w:t>30.5</w:t>
      </w:r>
      <w:r w:rsidRPr="00F026EC">
        <w:rPr>
          <w:sz w:val="24"/>
          <w:szCs w:val="24"/>
        </w:rPr>
        <w:t>.2016, aprovou as seguintes modificações na jurisprudência da Corte</w:t>
      </w:r>
      <w:r>
        <w:rPr>
          <w:sz w:val="24"/>
          <w:szCs w:val="24"/>
        </w:rPr>
        <w:t>:</w:t>
      </w:r>
    </w:p>
    <w:p w:rsidR="00F026EC" w:rsidRPr="004F5040" w:rsidRDefault="00F026EC" w:rsidP="00F7766D">
      <w:pPr>
        <w:jc w:val="both"/>
        <w:rPr>
          <w:sz w:val="10"/>
          <w:szCs w:val="10"/>
        </w:rPr>
      </w:pPr>
    </w:p>
    <w:p w:rsidR="00F026EC" w:rsidRPr="00095471" w:rsidRDefault="00F026EC" w:rsidP="00F026EC">
      <w:pPr>
        <w:jc w:val="both"/>
        <w:rPr>
          <w:b/>
          <w:iCs/>
          <w:sz w:val="23"/>
          <w:szCs w:val="23"/>
        </w:rPr>
      </w:pPr>
      <w:r w:rsidRPr="00095471">
        <w:rPr>
          <w:b/>
          <w:iCs/>
          <w:sz w:val="23"/>
          <w:szCs w:val="23"/>
        </w:rPr>
        <w:t>SÚMULA Nº 85 DO TST</w:t>
      </w:r>
    </w:p>
    <w:p w:rsidR="00F026EC" w:rsidRPr="00095471" w:rsidRDefault="00F026EC" w:rsidP="00F026EC">
      <w:pPr>
        <w:jc w:val="both"/>
        <w:rPr>
          <w:b/>
          <w:iCs/>
          <w:sz w:val="23"/>
          <w:szCs w:val="23"/>
        </w:rPr>
      </w:pPr>
      <w:r w:rsidRPr="00095471">
        <w:rPr>
          <w:iCs/>
          <w:sz w:val="23"/>
          <w:szCs w:val="23"/>
        </w:rPr>
        <w:t>COMPENSAÇÃO DE JORNADA</w:t>
      </w:r>
      <w:r w:rsidRPr="00095471">
        <w:rPr>
          <w:b/>
          <w:iCs/>
          <w:sz w:val="23"/>
          <w:szCs w:val="23"/>
        </w:rPr>
        <w:t xml:space="preserve"> (inserido o item VI)</w:t>
      </w:r>
    </w:p>
    <w:p w:rsidR="00F026EC" w:rsidRPr="00095471" w:rsidRDefault="00F026EC" w:rsidP="00F026EC">
      <w:pPr>
        <w:jc w:val="both"/>
        <w:rPr>
          <w:iCs/>
          <w:sz w:val="23"/>
          <w:szCs w:val="23"/>
        </w:rPr>
      </w:pPr>
      <w:r w:rsidRPr="00095471">
        <w:rPr>
          <w:iCs/>
          <w:sz w:val="23"/>
          <w:szCs w:val="23"/>
        </w:rPr>
        <w:t xml:space="preserve">I - A compensação de jornada de trabalho deve ser ajustada por acordo individual escrito, acordo coletivo ou convenção coletiva. (ex-Súmula nº 85 - primeira parte - alterada pela Res. 121/2003, DJ 21.11.2003) </w:t>
      </w:r>
    </w:p>
    <w:p w:rsidR="00F026EC" w:rsidRPr="00095471" w:rsidRDefault="00F026EC" w:rsidP="00F026EC">
      <w:pPr>
        <w:jc w:val="both"/>
        <w:rPr>
          <w:iCs/>
          <w:sz w:val="23"/>
          <w:szCs w:val="23"/>
        </w:rPr>
      </w:pPr>
      <w:r w:rsidRPr="00095471">
        <w:rPr>
          <w:iCs/>
          <w:sz w:val="23"/>
          <w:szCs w:val="23"/>
        </w:rPr>
        <w:t xml:space="preserve">II - O acordo individual para compensação de horas é válido, salvo se houver norma coletiva em sentido contrário. (ex-OJ nº 182 da SBDI-1 - inserida em 08.11.2000)   </w:t>
      </w:r>
    </w:p>
    <w:p w:rsidR="00F026EC" w:rsidRPr="00095471" w:rsidRDefault="00F026EC" w:rsidP="00F026EC">
      <w:pPr>
        <w:jc w:val="both"/>
        <w:rPr>
          <w:iCs/>
          <w:sz w:val="23"/>
          <w:szCs w:val="23"/>
        </w:rPr>
      </w:pPr>
      <w:r w:rsidRPr="00095471">
        <w:rPr>
          <w:iCs/>
          <w:sz w:val="23"/>
          <w:szCs w:val="23"/>
        </w:rPr>
        <w:t xml:space="preserve">III - O mero não atendimento das exigências legais para a compensação de jornada, inclusive quando encetada mediante acordo tácito, não implica a repetição do pagamento das horas excedentes à jornada normal diária, se não dilatada a jornada máxima semanal, sendo devido apenas o respectivo adicional. (ex-Súmula nº 85 - segunda parte - alterada pela Res. 121/2003, DJ 21.11.2003) </w:t>
      </w:r>
    </w:p>
    <w:p w:rsidR="00F026EC" w:rsidRPr="00095471" w:rsidRDefault="00F026EC" w:rsidP="00F026EC">
      <w:pPr>
        <w:jc w:val="both"/>
        <w:rPr>
          <w:iCs/>
          <w:sz w:val="23"/>
          <w:szCs w:val="23"/>
        </w:rPr>
      </w:pPr>
      <w:r w:rsidRPr="00095471">
        <w:rPr>
          <w:iCs/>
          <w:sz w:val="23"/>
          <w:szCs w:val="23"/>
        </w:rPr>
        <w:t xml:space="preserve">IV- A prestação de horas extras habituais descaracteriza o acordo de compensação de jornada. Nesta hipótese, as horas que ultrapassarem a jornada semanal normal deverão ser pagas como horas extraordinárias e, quanto àquelas destinadas à compensação, deverá ser pago a mais apenas o adicional por trabalho extraordinário. (ex-OJ nº 220 da SBDI-1 - inserida em 20.06.2001) </w:t>
      </w:r>
    </w:p>
    <w:p w:rsidR="00F026EC" w:rsidRPr="00095471" w:rsidRDefault="00F026EC" w:rsidP="00F026EC">
      <w:pPr>
        <w:jc w:val="both"/>
        <w:rPr>
          <w:iCs/>
          <w:sz w:val="23"/>
          <w:szCs w:val="23"/>
        </w:rPr>
      </w:pPr>
      <w:r w:rsidRPr="00095471">
        <w:rPr>
          <w:iCs/>
          <w:sz w:val="23"/>
          <w:szCs w:val="23"/>
        </w:rPr>
        <w:t>V- As disposições contidas nesta súmula não se aplicam ao regime compensatório na modalidade “banco de horas”, que somente pode ser instituído por negociação coletiva.</w:t>
      </w:r>
    </w:p>
    <w:p w:rsidR="00F026EC" w:rsidRPr="00095471" w:rsidRDefault="00F026EC" w:rsidP="00F026EC">
      <w:pPr>
        <w:jc w:val="both"/>
        <w:rPr>
          <w:iCs/>
          <w:sz w:val="23"/>
          <w:szCs w:val="23"/>
        </w:rPr>
      </w:pPr>
      <w:r w:rsidRPr="00095471">
        <w:rPr>
          <w:iCs/>
          <w:sz w:val="23"/>
          <w:szCs w:val="23"/>
        </w:rPr>
        <w:t>VI - Não é válido acordo de compensação de jornada em atividade insalubre, ainda que estipulado em norma coletiva, sem a necessária inspeção prévia e permissão da autoridade competente, na forma do art. 60 da CLT.</w:t>
      </w:r>
    </w:p>
    <w:p w:rsidR="00F026EC" w:rsidRPr="00095471" w:rsidRDefault="00F026EC" w:rsidP="00F7766D">
      <w:pPr>
        <w:jc w:val="both"/>
        <w:rPr>
          <w:b/>
          <w:i/>
          <w:sz w:val="10"/>
          <w:szCs w:val="10"/>
        </w:rPr>
      </w:pPr>
    </w:p>
    <w:p w:rsidR="00F026EC" w:rsidRPr="00095471" w:rsidRDefault="00F026EC" w:rsidP="00F026EC">
      <w:pPr>
        <w:jc w:val="both"/>
        <w:rPr>
          <w:b/>
          <w:iCs/>
          <w:sz w:val="23"/>
          <w:szCs w:val="23"/>
        </w:rPr>
      </w:pPr>
      <w:r w:rsidRPr="00095471">
        <w:rPr>
          <w:b/>
          <w:iCs/>
          <w:sz w:val="23"/>
          <w:szCs w:val="23"/>
        </w:rPr>
        <w:t>SÚMULA Nº 364 DO TST</w:t>
      </w:r>
    </w:p>
    <w:p w:rsidR="00F026EC" w:rsidRPr="00095471" w:rsidRDefault="00F026EC" w:rsidP="00F026EC">
      <w:pPr>
        <w:jc w:val="both"/>
        <w:rPr>
          <w:rStyle w:val="nfase"/>
          <w:b/>
          <w:i w:val="0"/>
          <w:sz w:val="23"/>
          <w:szCs w:val="23"/>
        </w:rPr>
      </w:pPr>
      <w:r w:rsidRPr="00095471">
        <w:rPr>
          <w:rStyle w:val="nfase"/>
          <w:i w:val="0"/>
          <w:sz w:val="23"/>
          <w:szCs w:val="23"/>
        </w:rPr>
        <w:t xml:space="preserve">ADICIONAL DE PERICULOSIDADE. EXPOSIÇÃO EVENTUAL, PERMANENTE E INTERMITENTE </w:t>
      </w:r>
      <w:r w:rsidRPr="00095471">
        <w:rPr>
          <w:b/>
          <w:iCs/>
          <w:sz w:val="23"/>
          <w:szCs w:val="23"/>
        </w:rPr>
        <w:t>(inserido o item II)</w:t>
      </w:r>
    </w:p>
    <w:p w:rsidR="00F026EC" w:rsidRPr="00095471" w:rsidRDefault="00F026EC" w:rsidP="00F026EC">
      <w:pPr>
        <w:jc w:val="both"/>
        <w:rPr>
          <w:rStyle w:val="nfase"/>
          <w:i w:val="0"/>
          <w:sz w:val="23"/>
          <w:szCs w:val="23"/>
        </w:rPr>
      </w:pPr>
      <w:r w:rsidRPr="00095471">
        <w:rPr>
          <w:rStyle w:val="nfase"/>
          <w:i w:val="0"/>
          <w:sz w:val="23"/>
          <w:szCs w:val="23"/>
        </w:rPr>
        <w:t>I - Tem direito ao adicional de periculosidade o empregado exposto permanentemente ou que, de forma intermitente, sujeita-se a condições de risco. Indevido, apenas, quando o contato dá-se de forma eventual, assim considerado o fortuito, ou o que, sendo habitual, dá-se por tempo extremamente reduzido. (ex-OJs da SBDI-1 nºs 05 - inserida em 14.03.1994 - e 280 - DJ 11.08.2003).</w:t>
      </w:r>
    </w:p>
    <w:p w:rsidR="00F026EC" w:rsidRPr="00095471" w:rsidRDefault="00F026EC" w:rsidP="00F026EC">
      <w:pPr>
        <w:jc w:val="both"/>
        <w:rPr>
          <w:rStyle w:val="nfase"/>
          <w:i w:val="0"/>
          <w:sz w:val="23"/>
          <w:szCs w:val="23"/>
        </w:rPr>
      </w:pPr>
      <w:r w:rsidRPr="00095471">
        <w:rPr>
          <w:rStyle w:val="nfase"/>
          <w:i w:val="0"/>
          <w:sz w:val="23"/>
          <w:szCs w:val="23"/>
        </w:rPr>
        <w:t>II - Não é válida a cláusula de acordo ou convenção coletiva de trabalho fixando o adicional de periculosidade em percentual inferior ao estabelecido em lei e proporcional ao tempo de exposição ao risco, pois tal parcela constitui medida de higiene, saúde e segurança do trabalho, garantida por norma de ordem pública (arts. 7º, XXII e XXIII, da CF e 193, §1º, da CLT).</w:t>
      </w:r>
    </w:p>
    <w:p w:rsidR="00F026EC" w:rsidRPr="00095471" w:rsidRDefault="00F026EC" w:rsidP="00F026EC">
      <w:pPr>
        <w:jc w:val="both"/>
        <w:rPr>
          <w:rStyle w:val="nfase"/>
          <w:i w:val="0"/>
          <w:sz w:val="10"/>
          <w:szCs w:val="10"/>
        </w:rPr>
      </w:pPr>
    </w:p>
    <w:p w:rsidR="00F026EC" w:rsidRPr="00095471" w:rsidRDefault="00F026EC" w:rsidP="00F026EC">
      <w:pPr>
        <w:rPr>
          <w:b/>
          <w:iCs/>
          <w:sz w:val="23"/>
          <w:szCs w:val="23"/>
        </w:rPr>
      </w:pPr>
      <w:r w:rsidRPr="00095471">
        <w:rPr>
          <w:b/>
          <w:iCs/>
          <w:sz w:val="23"/>
          <w:szCs w:val="23"/>
        </w:rPr>
        <w:t>SÚMULA Nº 404 DO TST</w:t>
      </w:r>
    </w:p>
    <w:p w:rsidR="00F026EC" w:rsidRPr="00095471" w:rsidRDefault="00F026EC" w:rsidP="00F026EC">
      <w:pPr>
        <w:jc w:val="both"/>
        <w:rPr>
          <w:sz w:val="23"/>
          <w:szCs w:val="23"/>
        </w:rPr>
      </w:pPr>
      <w:r w:rsidRPr="00095471">
        <w:rPr>
          <w:sz w:val="23"/>
          <w:szCs w:val="23"/>
        </w:rPr>
        <w:t xml:space="preserve">AÇÃO RESCISÓRIA. FUNDAMENTO PARA INVALIDAR CONFISSÃO. CONFISSÃO FICTA. INADEQUAÇÃO DO ENQUADRAMENTO NO ART. 485, VIII, DO CPC DE 1973 </w:t>
      </w:r>
    </w:p>
    <w:p w:rsidR="00F026EC" w:rsidRPr="00095471" w:rsidRDefault="00F026EC" w:rsidP="00F026EC">
      <w:pPr>
        <w:jc w:val="both"/>
        <w:rPr>
          <w:sz w:val="23"/>
          <w:szCs w:val="23"/>
        </w:rPr>
      </w:pPr>
      <w:r w:rsidRPr="00095471">
        <w:rPr>
          <w:sz w:val="23"/>
          <w:szCs w:val="23"/>
        </w:rPr>
        <w:t xml:space="preserve">O art. 485, VIII, do CPC de 1973, ao tratar do fundamento para invalidar a confissão como hipótese de rescindibilidade da decisão judicial, referia-se à confissão real, fruto de erro, dolo ou coação, e não à confissão ficta resultante de revelia. </w:t>
      </w:r>
    </w:p>
    <w:p w:rsidR="00F026EC" w:rsidRPr="00095471" w:rsidRDefault="00F026EC" w:rsidP="00F026EC">
      <w:pPr>
        <w:jc w:val="both"/>
        <w:rPr>
          <w:rStyle w:val="nfase"/>
          <w:i w:val="0"/>
          <w:sz w:val="23"/>
          <w:szCs w:val="23"/>
        </w:rPr>
      </w:pPr>
    </w:p>
    <w:p w:rsidR="00F026EC" w:rsidRPr="00095471" w:rsidRDefault="00F026EC" w:rsidP="00F026EC">
      <w:pPr>
        <w:rPr>
          <w:b/>
          <w:iCs/>
          <w:sz w:val="23"/>
          <w:szCs w:val="23"/>
        </w:rPr>
      </w:pPr>
      <w:r w:rsidRPr="00095471">
        <w:rPr>
          <w:b/>
          <w:iCs/>
          <w:sz w:val="23"/>
          <w:szCs w:val="23"/>
        </w:rPr>
        <w:lastRenderedPageBreak/>
        <w:t>SÚMULA Nº 413 DO TST</w:t>
      </w:r>
    </w:p>
    <w:p w:rsidR="00F026EC" w:rsidRPr="00095471" w:rsidRDefault="00F026EC" w:rsidP="00F026EC">
      <w:pPr>
        <w:keepNext/>
        <w:jc w:val="both"/>
        <w:rPr>
          <w:b/>
          <w:bCs/>
          <w:sz w:val="23"/>
          <w:szCs w:val="23"/>
        </w:rPr>
      </w:pPr>
      <w:r w:rsidRPr="00095471">
        <w:rPr>
          <w:bCs/>
          <w:sz w:val="23"/>
          <w:szCs w:val="23"/>
        </w:rPr>
        <w:t>AÇÃO RESCISÓRIA. SENTENÇA DE MÉRITO. VIOLAÇÃO DO ART. 896, "A", DA CLT</w:t>
      </w:r>
      <w:r w:rsidRPr="00095471">
        <w:rPr>
          <w:b/>
          <w:bCs/>
          <w:sz w:val="23"/>
          <w:szCs w:val="23"/>
        </w:rPr>
        <w:t xml:space="preserve"> </w:t>
      </w:r>
      <w:r w:rsidRPr="00095471">
        <w:rPr>
          <w:b/>
          <w:sz w:val="23"/>
          <w:szCs w:val="23"/>
        </w:rPr>
        <w:t>(nova redação em decorrência do CPC de 2015)</w:t>
      </w:r>
    </w:p>
    <w:p w:rsidR="00F026EC" w:rsidRPr="00095471" w:rsidRDefault="00F026EC" w:rsidP="00F026EC">
      <w:pPr>
        <w:keepNext/>
        <w:jc w:val="both"/>
        <w:rPr>
          <w:sz w:val="23"/>
          <w:szCs w:val="23"/>
        </w:rPr>
      </w:pPr>
      <w:r w:rsidRPr="00095471">
        <w:rPr>
          <w:sz w:val="23"/>
          <w:szCs w:val="23"/>
        </w:rPr>
        <w:t>É incabível ação rescisória, por violação do art. 896, "a", da CLT, contra decisão transitada em julgado sob a égide do CPC de 1973 que não conhece de recurso de revista, com base em divergência jurisprudencial, pois não se cuidava de sentença de mérito (art. 485 do CPC de 1973). (ex-OJ nº 47 da SBDI-2  - inserida em 20.09.2000)</w:t>
      </w:r>
    </w:p>
    <w:p w:rsidR="00F026EC" w:rsidRPr="00095471" w:rsidRDefault="00F026EC" w:rsidP="00F026EC">
      <w:pPr>
        <w:keepNext/>
        <w:jc w:val="both"/>
        <w:rPr>
          <w:sz w:val="10"/>
          <w:szCs w:val="10"/>
        </w:rPr>
      </w:pPr>
    </w:p>
    <w:p w:rsidR="00F026EC" w:rsidRPr="00095471" w:rsidRDefault="00F026EC" w:rsidP="00F026EC">
      <w:pPr>
        <w:rPr>
          <w:b/>
          <w:iCs/>
          <w:sz w:val="23"/>
          <w:szCs w:val="23"/>
        </w:rPr>
      </w:pPr>
      <w:r w:rsidRPr="00095471">
        <w:rPr>
          <w:b/>
          <w:iCs/>
          <w:sz w:val="23"/>
          <w:szCs w:val="23"/>
        </w:rPr>
        <w:t>OJ Nº 130 DA SBDI-I</w:t>
      </w:r>
    </w:p>
    <w:p w:rsidR="00F026EC" w:rsidRPr="00095471" w:rsidRDefault="00F026EC" w:rsidP="00F026EC">
      <w:pPr>
        <w:jc w:val="both"/>
        <w:rPr>
          <w:rFonts w:eastAsia="Calibri"/>
          <w:b/>
          <w:caps/>
          <w:sz w:val="23"/>
          <w:szCs w:val="23"/>
        </w:rPr>
      </w:pPr>
      <w:r w:rsidRPr="00095471">
        <w:rPr>
          <w:rFonts w:eastAsia="Calibri"/>
          <w:caps/>
          <w:sz w:val="23"/>
          <w:szCs w:val="23"/>
        </w:rPr>
        <w:t>PRESCRIÇÃO. MINISTÉRIO PÚBLICO. ARGUIÇÃO. "CUSTOS LEGIS". ILEGITIMIDADE.</w:t>
      </w:r>
      <w:r w:rsidRPr="00095471">
        <w:rPr>
          <w:rFonts w:eastAsia="Calibri"/>
          <w:b/>
          <w:caps/>
          <w:sz w:val="23"/>
          <w:szCs w:val="23"/>
        </w:rPr>
        <w:t xml:space="preserve"> </w:t>
      </w:r>
      <w:r w:rsidRPr="00095471">
        <w:rPr>
          <w:b/>
          <w:sz w:val="23"/>
          <w:szCs w:val="23"/>
        </w:rPr>
        <w:t>(atualizada em decorrência do CPC de 2015)</w:t>
      </w:r>
    </w:p>
    <w:p w:rsidR="00F026EC" w:rsidRPr="00095471" w:rsidRDefault="00F026EC" w:rsidP="00F026EC">
      <w:pPr>
        <w:jc w:val="both"/>
        <w:rPr>
          <w:rFonts w:eastAsia="Calibri"/>
          <w:sz w:val="23"/>
          <w:szCs w:val="23"/>
        </w:rPr>
      </w:pPr>
      <w:r w:rsidRPr="00095471">
        <w:rPr>
          <w:rFonts w:eastAsia="Calibri"/>
          <w:sz w:val="23"/>
          <w:szCs w:val="23"/>
        </w:rPr>
        <w:t xml:space="preserve">Ao exarar o parecer na remessa de ofício, na qualidade de “custos legis”, o Ministério Público não tem legitimidade para arguir a prescrição em favor de entidade de direito público, em matéria de direito patrimonial. </w:t>
      </w:r>
    </w:p>
    <w:p w:rsidR="00F026EC" w:rsidRPr="00095471" w:rsidRDefault="00F026EC" w:rsidP="00F026EC">
      <w:pPr>
        <w:jc w:val="both"/>
        <w:rPr>
          <w:rFonts w:eastAsia="Calibri"/>
          <w:sz w:val="10"/>
          <w:szCs w:val="10"/>
        </w:rPr>
      </w:pPr>
    </w:p>
    <w:p w:rsidR="00F026EC" w:rsidRPr="00095471" w:rsidRDefault="00F026EC" w:rsidP="00F026EC">
      <w:pPr>
        <w:rPr>
          <w:b/>
          <w:iCs/>
          <w:sz w:val="23"/>
          <w:szCs w:val="23"/>
        </w:rPr>
      </w:pPr>
      <w:r w:rsidRPr="00095471">
        <w:rPr>
          <w:b/>
          <w:iCs/>
          <w:sz w:val="23"/>
          <w:szCs w:val="23"/>
        </w:rPr>
        <w:t>OJ Nº 389 DA SBDI-I</w:t>
      </w:r>
    </w:p>
    <w:p w:rsidR="00F026EC" w:rsidRPr="00095471" w:rsidRDefault="00F026EC" w:rsidP="00F026EC">
      <w:pPr>
        <w:jc w:val="both"/>
        <w:rPr>
          <w:rFonts w:eastAsia="Calibri"/>
          <w:b/>
          <w:caps/>
          <w:sz w:val="23"/>
          <w:szCs w:val="23"/>
        </w:rPr>
      </w:pPr>
      <w:r w:rsidRPr="00095471">
        <w:rPr>
          <w:rFonts w:eastAsia="Calibri"/>
          <w:caps/>
          <w:sz w:val="23"/>
          <w:szCs w:val="23"/>
        </w:rPr>
        <w:t>MULTA PREVISTA NO Art. 1.021, §§ 4º e 5º, do cpc de 2015. ART. 557, § 2º, DO CPC DE 1973. RECOLHIMENTO. PRESSUPOSTO RECURSAL. beneficiário da justiça gratuita e FAZENDA PÚBLICA. PAGAMENTO AO FINAL.</w:t>
      </w:r>
      <w:r w:rsidRPr="00095471">
        <w:rPr>
          <w:rFonts w:eastAsia="Calibri"/>
          <w:b/>
          <w:caps/>
          <w:sz w:val="23"/>
          <w:szCs w:val="23"/>
        </w:rPr>
        <w:t xml:space="preserve"> </w:t>
      </w:r>
      <w:r w:rsidRPr="00095471">
        <w:rPr>
          <w:b/>
          <w:sz w:val="23"/>
          <w:szCs w:val="23"/>
        </w:rPr>
        <w:t>(nova redação em decorrência do CPC de 2015)</w:t>
      </w:r>
    </w:p>
    <w:p w:rsidR="00F026EC" w:rsidRPr="00095471" w:rsidRDefault="00F026EC" w:rsidP="00F026EC">
      <w:pPr>
        <w:jc w:val="both"/>
        <w:rPr>
          <w:rFonts w:eastAsia="Calibri"/>
          <w:sz w:val="23"/>
          <w:szCs w:val="23"/>
        </w:rPr>
      </w:pPr>
      <w:r w:rsidRPr="00095471">
        <w:rPr>
          <w:rFonts w:eastAsia="Calibri"/>
          <w:sz w:val="23"/>
          <w:szCs w:val="23"/>
        </w:rPr>
        <w:t>Constitui ônus da parte recorrente, sob pena de deserção, depositar previamente a multa aplicada com fundamento nos §§ 4º e 5º, do art. 1.021, do CPC de 2015 (§ 2º do art. 557 do CPC de 1973), à exceção da Fazenda Pública e do beneficiário de justiça gratuita, que farão o pagamento ao final.</w:t>
      </w:r>
    </w:p>
    <w:p w:rsidR="00F026EC" w:rsidRPr="00095471" w:rsidRDefault="00F026EC" w:rsidP="00F026EC">
      <w:pPr>
        <w:jc w:val="both"/>
        <w:rPr>
          <w:rFonts w:eastAsia="Calibri"/>
          <w:strike/>
          <w:sz w:val="10"/>
          <w:szCs w:val="10"/>
        </w:rPr>
      </w:pPr>
    </w:p>
    <w:p w:rsidR="00F026EC" w:rsidRPr="00095471" w:rsidRDefault="00F026EC" w:rsidP="00F026EC">
      <w:pPr>
        <w:rPr>
          <w:b/>
          <w:iCs/>
          <w:sz w:val="23"/>
          <w:szCs w:val="23"/>
        </w:rPr>
      </w:pPr>
      <w:r w:rsidRPr="00095471">
        <w:rPr>
          <w:b/>
          <w:iCs/>
          <w:sz w:val="23"/>
          <w:szCs w:val="23"/>
        </w:rPr>
        <w:t xml:space="preserve">OJ </w:t>
      </w:r>
      <w:r w:rsidR="004F5040" w:rsidRPr="00095471">
        <w:rPr>
          <w:b/>
          <w:iCs/>
          <w:sz w:val="23"/>
          <w:szCs w:val="23"/>
        </w:rPr>
        <w:t xml:space="preserve">Nº </w:t>
      </w:r>
      <w:r w:rsidRPr="00095471">
        <w:rPr>
          <w:b/>
          <w:iCs/>
          <w:sz w:val="23"/>
          <w:szCs w:val="23"/>
        </w:rPr>
        <w:t>392</w:t>
      </w:r>
      <w:r w:rsidR="004F5040" w:rsidRPr="00095471">
        <w:rPr>
          <w:b/>
          <w:iCs/>
          <w:sz w:val="23"/>
          <w:szCs w:val="23"/>
        </w:rPr>
        <w:t xml:space="preserve"> DA</w:t>
      </w:r>
      <w:r w:rsidRPr="00095471">
        <w:rPr>
          <w:b/>
          <w:iCs/>
          <w:sz w:val="23"/>
          <w:szCs w:val="23"/>
        </w:rPr>
        <w:t xml:space="preserve"> SBDI-I</w:t>
      </w:r>
    </w:p>
    <w:p w:rsidR="00F026EC" w:rsidRPr="00095471" w:rsidRDefault="00F026EC" w:rsidP="004F5040">
      <w:pPr>
        <w:pStyle w:val="CPCeproposta"/>
        <w:ind w:left="0"/>
        <w:rPr>
          <w:rFonts w:ascii="Times New Roman" w:hAnsi="Times New Roman" w:cs="Times New Roman"/>
          <w:color w:val="auto"/>
          <w:sz w:val="23"/>
          <w:szCs w:val="23"/>
          <w:u w:val="none"/>
        </w:rPr>
      </w:pPr>
      <w:r w:rsidRPr="00095471">
        <w:rPr>
          <w:rFonts w:ascii="Times New Roman" w:hAnsi="Times New Roman" w:cs="Times New Roman"/>
          <w:b w:val="0"/>
          <w:color w:val="auto"/>
          <w:sz w:val="23"/>
          <w:szCs w:val="23"/>
          <w:u w:val="none"/>
        </w:rPr>
        <w:t>PRESCRIÇÃO. INTERRUPÇÃO. AJUIZAMENTO DE PROTESTO JUDICIAL. MARCO INICIAL</w:t>
      </w:r>
      <w:r w:rsidRPr="00095471">
        <w:rPr>
          <w:rFonts w:ascii="Times New Roman" w:hAnsi="Times New Roman" w:cs="Times New Roman"/>
          <w:color w:val="auto"/>
          <w:sz w:val="23"/>
          <w:szCs w:val="23"/>
          <w:u w:val="none"/>
        </w:rPr>
        <w:t xml:space="preserve"> (atualizada em decorrência do CPC de 2015) (republicada em razão de erro material)</w:t>
      </w:r>
    </w:p>
    <w:p w:rsidR="00F026EC" w:rsidRPr="00095471" w:rsidRDefault="00F026EC" w:rsidP="004F5040">
      <w:pPr>
        <w:pStyle w:val="CPCeproposta"/>
        <w:ind w:left="0"/>
        <w:rPr>
          <w:rFonts w:ascii="Times New Roman" w:hAnsi="Times New Roman" w:cs="Times New Roman"/>
          <w:b w:val="0"/>
          <w:color w:val="auto"/>
          <w:sz w:val="23"/>
          <w:szCs w:val="23"/>
          <w:u w:val="none"/>
        </w:rPr>
      </w:pPr>
      <w:r w:rsidRPr="00095471">
        <w:rPr>
          <w:rFonts w:ascii="Times New Roman" w:hAnsi="Times New Roman" w:cs="Times New Roman"/>
          <w:b w:val="0"/>
          <w:color w:val="auto"/>
          <w:sz w:val="23"/>
          <w:szCs w:val="23"/>
          <w:u w:val="none"/>
        </w:rPr>
        <w:t>O protesto judicial é medida aplicável no processo do trabalho, por força do art. 769 da CLT e do art. 15 do CPC de 2015. O ajuizamento da ação, por si só, interrompe o prazo prescricional, em razão da inaplicabilidade do § 2º do art. 240 do CPC de 2015 (§ 2º do art. 219 do CPC de 1973),  incompatível com o disposto no art. 841 da CLT.</w:t>
      </w:r>
    </w:p>
    <w:p w:rsidR="004F5040" w:rsidRPr="00095471" w:rsidRDefault="004F5040" w:rsidP="004F5040">
      <w:pPr>
        <w:pStyle w:val="CPCeproposta"/>
        <w:ind w:left="0"/>
        <w:rPr>
          <w:rFonts w:ascii="Times New Roman" w:hAnsi="Times New Roman" w:cs="Times New Roman"/>
          <w:b w:val="0"/>
          <w:color w:val="auto"/>
          <w:sz w:val="10"/>
          <w:szCs w:val="10"/>
          <w:u w:val="none"/>
        </w:rPr>
      </w:pPr>
    </w:p>
    <w:p w:rsidR="004F5040" w:rsidRPr="00095471" w:rsidRDefault="004F5040" w:rsidP="004F5040">
      <w:pPr>
        <w:rPr>
          <w:b/>
          <w:iCs/>
          <w:sz w:val="23"/>
          <w:szCs w:val="23"/>
        </w:rPr>
      </w:pPr>
      <w:r w:rsidRPr="00095471">
        <w:rPr>
          <w:b/>
          <w:iCs/>
          <w:sz w:val="23"/>
          <w:szCs w:val="23"/>
        </w:rPr>
        <w:t>OJ Nº 409 DA SBDI-I</w:t>
      </w:r>
    </w:p>
    <w:p w:rsidR="004F5040" w:rsidRPr="00095471" w:rsidRDefault="004F5040" w:rsidP="004F5040">
      <w:pPr>
        <w:jc w:val="both"/>
        <w:rPr>
          <w:rFonts w:eastAsia="Calibri"/>
          <w:b/>
          <w:caps/>
          <w:sz w:val="23"/>
          <w:szCs w:val="23"/>
        </w:rPr>
      </w:pPr>
      <w:r w:rsidRPr="00095471">
        <w:rPr>
          <w:rFonts w:eastAsia="Calibri"/>
          <w:caps/>
          <w:sz w:val="23"/>
          <w:szCs w:val="23"/>
        </w:rPr>
        <w:t>MULTA POR LITIGÂNCIA DE MÁ-FÉ. RECOLHIMENTO. PRESSUPOSTO RECURSAL. INEXIGIBILIDADE.</w:t>
      </w:r>
      <w:r w:rsidRPr="00095471">
        <w:rPr>
          <w:rFonts w:eastAsia="Calibri"/>
          <w:b/>
          <w:caps/>
          <w:sz w:val="23"/>
          <w:szCs w:val="23"/>
        </w:rPr>
        <w:t xml:space="preserve"> </w:t>
      </w:r>
      <w:r w:rsidRPr="00095471">
        <w:rPr>
          <w:b/>
          <w:sz w:val="23"/>
          <w:szCs w:val="23"/>
        </w:rPr>
        <w:t>(nova redação em decorrência do CPC de 2015)</w:t>
      </w:r>
    </w:p>
    <w:p w:rsidR="004F5040" w:rsidRPr="00095471" w:rsidRDefault="004F5040" w:rsidP="004F5040">
      <w:pPr>
        <w:widowControl w:val="0"/>
        <w:tabs>
          <w:tab w:val="left" w:pos="5103"/>
          <w:tab w:val="left" w:pos="5245"/>
        </w:tabs>
        <w:jc w:val="both"/>
        <w:rPr>
          <w:rFonts w:eastAsia="Calibri"/>
          <w:sz w:val="23"/>
          <w:szCs w:val="23"/>
        </w:rPr>
      </w:pPr>
      <w:r w:rsidRPr="00095471">
        <w:rPr>
          <w:rFonts w:eastAsia="Calibri"/>
          <w:sz w:val="23"/>
          <w:szCs w:val="23"/>
        </w:rPr>
        <w:t xml:space="preserve">O recolhimento do valor da multa imposta como sanção por litigância de má-fé (art. 81 do CPC de 2015 – art. 18 do CPC de 1973) não é pressuposto objetivo para interposição dos recursos de natureza trabalhista. </w:t>
      </w:r>
    </w:p>
    <w:p w:rsidR="004F5040" w:rsidRPr="00095471" w:rsidRDefault="004F5040" w:rsidP="004F5040">
      <w:pPr>
        <w:pStyle w:val="CPCeproposta"/>
        <w:ind w:left="0"/>
        <w:rPr>
          <w:rFonts w:ascii="Times New Roman" w:hAnsi="Times New Roman" w:cs="Times New Roman"/>
          <w:b w:val="0"/>
          <w:color w:val="auto"/>
          <w:sz w:val="10"/>
          <w:szCs w:val="10"/>
          <w:u w:val="none"/>
        </w:rPr>
      </w:pPr>
    </w:p>
    <w:p w:rsidR="004F5040" w:rsidRPr="00095471" w:rsidRDefault="004F5040" w:rsidP="004F5040">
      <w:pPr>
        <w:rPr>
          <w:b/>
          <w:iCs/>
          <w:sz w:val="23"/>
          <w:szCs w:val="23"/>
        </w:rPr>
      </w:pPr>
      <w:r w:rsidRPr="00095471">
        <w:rPr>
          <w:b/>
          <w:iCs/>
          <w:sz w:val="23"/>
          <w:szCs w:val="23"/>
        </w:rPr>
        <w:t>OJ Nº 412 DA SBDI-I</w:t>
      </w:r>
    </w:p>
    <w:p w:rsidR="004F5040" w:rsidRPr="00095471" w:rsidRDefault="004F5040" w:rsidP="004F5040">
      <w:pPr>
        <w:jc w:val="both"/>
        <w:rPr>
          <w:rFonts w:eastAsia="Calibri"/>
          <w:b/>
          <w:caps/>
          <w:sz w:val="23"/>
          <w:szCs w:val="23"/>
        </w:rPr>
      </w:pPr>
      <w:r w:rsidRPr="00095471">
        <w:rPr>
          <w:rFonts w:eastAsia="Calibri"/>
          <w:caps/>
          <w:sz w:val="23"/>
          <w:szCs w:val="23"/>
        </w:rPr>
        <w:t xml:space="preserve">AGRAVO INTERNO OU AGRAVO REGIMENTAL. INTERPOSIÇÃO EM FACE DE DECISÃO COLEGIADA. NÃO CABIMENTO. ERRO GROSSEIRO. INAPLICABILIDADE DO PRINCÍPIO DA FUNGIBILIDADE RECURSAL </w:t>
      </w:r>
      <w:r w:rsidRPr="00095471">
        <w:rPr>
          <w:b/>
          <w:sz w:val="23"/>
          <w:szCs w:val="23"/>
        </w:rPr>
        <w:t>(nova redação em decorrência do CPC de 2015)</w:t>
      </w:r>
    </w:p>
    <w:p w:rsidR="004F5040" w:rsidRPr="00095471" w:rsidRDefault="004F5040" w:rsidP="004F5040">
      <w:pPr>
        <w:jc w:val="both"/>
        <w:rPr>
          <w:rFonts w:eastAsia="Calibri"/>
          <w:sz w:val="23"/>
          <w:szCs w:val="23"/>
        </w:rPr>
      </w:pPr>
      <w:r w:rsidRPr="00095471">
        <w:rPr>
          <w:rFonts w:eastAsia="Calibri"/>
          <w:sz w:val="23"/>
          <w:szCs w:val="23"/>
        </w:rPr>
        <w:t>É incabível agravo interno (art. 1.021 do CPC de 2015, art. 557, §1º, do CPC de 1973) ou agravo regimental (art. 235 do RITST) contra decisão proferida por Órgão colegiado. Tais recursos destinam-se, exclusivamente, a impugnar decisão monocrática nas hipóteses previstas. Inaplicável, no caso, o princípio da fungibilidade ante a configuração de erro grosseiro.</w:t>
      </w:r>
    </w:p>
    <w:p w:rsidR="004F5040" w:rsidRPr="00095471" w:rsidRDefault="004F5040" w:rsidP="004F5040">
      <w:pPr>
        <w:rPr>
          <w:b/>
          <w:iCs/>
          <w:sz w:val="10"/>
          <w:szCs w:val="10"/>
        </w:rPr>
      </w:pPr>
    </w:p>
    <w:p w:rsidR="004F5040" w:rsidRPr="00095471" w:rsidRDefault="004F5040" w:rsidP="004F5040">
      <w:pPr>
        <w:rPr>
          <w:b/>
          <w:iCs/>
          <w:sz w:val="23"/>
          <w:szCs w:val="23"/>
        </w:rPr>
      </w:pPr>
      <w:r w:rsidRPr="00095471">
        <w:rPr>
          <w:b/>
          <w:iCs/>
          <w:sz w:val="23"/>
          <w:szCs w:val="23"/>
        </w:rPr>
        <w:t>OJ Nº 59 DA SBDI-II</w:t>
      </w:r>
    </w:p>
    <w:p w:rsidR="004F5040" w:rsidRPr="00095471" w:rsidRDefault="004F5040" w:rsidP="004F5040">
      <w:pPr>
        <w:jc w:val="both"/>
        <w:rPr>
          <w:rFonts w:eastAsia="Calibri"/>
          <w:b/>
          <w:caps/>
          <w:sz w:val="23"/>
          <w:szCs w:val="23"/>
        </w:rPr>
      </w:pPr>
      <w:r w:rsidRPr="00095471">
        <w:rPr>
          <w:rFonts w:eastAsia="Calibri"/>
          <w:caps/>
          <w:sz w:val="23"/>
          <w:szCs w:val="23"/>
        </w:rPr>
        <w:t>MANDADO DE SEGURANÇA. PENHORA. CARTA DE FIANÇA BANCÁRIA. seguro garantia judicial</w:t>
      </w:r>
      <w:r w:rsidRPr="00095471">
        <w:rPr>
          <w:rFonts w:eastAsia="Calibri"/>
          <w:b/>
          <w:caps/>
          <w:sz w:val="23"/>
          <w:szCs w:val="23"/>
        </w:rPr>
        <w:t xml:space="preserve"> </w:t>
      </w:r>
      <w:r w:rsidRPr="00095471">
        <w:rPr>
          <w:b/>
          <w:sz w:val="23"/>
          <w:szCs w:val="23"/>
        </w:rPr>
        <w:t>(nova redação em decorrência do CPC de 2015)</w:t>
      </w:r>
    </w:p>
    <w:p w:rsidR="004F5040" w:rsidRPr="00095471" w:rsidRDefault="004F5040" w:rsidP="004F5040">
      <w:pPr>
        <w:jc w:val="both"/>
        <w:rPr>
          <w:rFonts w:eastAsia="Calibri"/>
          <w:sz w:val="23"/>
          <w:szCs w:val="23"/>
        </w:rPr>
      </w:pPr>
      <w:r w:rsidRPr="00095471">
        <w:rPr>
          <w:rFonts w:eastAsia="Calibri"/>
          <w:sz w:val="23"/>
          <w:szCs w:val="23"/>
        </w:rPr>
        <w:t xml:space="preserve">A carta de fiança bancária e o seguro garantia judicial, desde que em valor não inferior ao do débito em execução, acrescido de trinta por cento, equivalem a dinheiro para efeito da gradação dos bens penhoráveis, estabelecida no art. 835 do CPC de 2015 (art. 655 do CPC de 1973). </w:t>
      </w:r>
    </w:p>
    <w:p w:rsidR="004F5040" w:rsidRDefault="004F5040" w:rsidP="004F5040">
      <w:pPr>
        <w:jc w:val="both"/>
        <w:rPr>
          <w:rFonts w:eastAsia="Calibri"/>
          <w:sz w:val="24"/>
          <w:szCs w:val="24"/>
        </w:rPr>
      </w:pPr>
    </w:p>
    <w:p w:rsidR="00F026EC" w:rsidRDefault="004F5040" w:rsidP="00F7766D">
      <w:pPr>
        <w:jc w:val="both"/>
        <w:rPr>
          <w:sz w:val="24"/>
          <w:szCs w:val="24"/>
        </w:rPr>
      </w:pPr>
      <w:r w:rsidRPr="00F026EC">
        <w:rPr>
          <w:sz w:val="24"/>
          <w:szCs w:val="24"/>
        </w:rPr>
        <w:t xml:space="preserve">O Tribunal Pleno, na sessão extraordinária do dia </w:t>
      </w:r>
      <w:r>
        <w:rPr>
          <w:sz w:val="24"/>
          <w:szCs w:val="24"/>
        </w:rPr>
        <w:t>30.5</w:t>
      </w:r>
      <w:r w:rsidRPr="00F026EC">
        <w:rPr>
          <w:sz w:val="24"/>
          <w:szCs w:val="24"/>
        </w:rPr>
        <w:t xml:space="preserve">.2016, aprovou </w:t>
      </w:r>
      <w:r>
        <w:rPr>
          <w:sz w:val="24"/>
          <w:szCs w:val="24"/>
        </w:rPr>
        <w:t xml:space="preserve">a edição de três novas súmulas: </w:t>
      </w:r>
    </w:p>
    <w:p w:rsidR="004F5040" w:rsidRPr="004F5040" w:rsidRDefault="004F5040" w:rsidP="00F7766D">
      <w:pPr>
        <w:jc w:val="both"/>
        <w:rPr>
          <w:sz w:val="10"/>
          <w:szCs w:val="10"/>
        </w:rPr>
      </w:pPr>
    </w:p>
    <w:p w:rsidR="00095471" w:rsidRDefault="00095471" w:rsidP="004F5040">
      <w:pPr>
        <w:rPr>
          <w:b/>
          <w:iCs/>
          <w:sz w:val="23"/>
          <w:szCs w:val="23"/>
        </w:rPr>
      </w:pPr>
    </w:p>
    <w:p w:rsidR="004F5040" w:rsidRPr="00095471" w:rsidRDefault="004F5040" w:rsidP="004F5040">
      <w:pPr>
        <w:rPr>
          <w:b/>
          <w:iCs/>
          <w:sz w:val="23"/>
          <w:szCs w:val="23"/>
        </w:rPr>
      </w:pPr>
      <w:r w:rsidRPr="00095471">
        <w:rPr>
          <w:b/>
          <w:iCs/>
          <w:sz w:val="23"/>
          <w:szCs w:val="23"/>
        </w:rPr>
        <w:lastRenderedPageBreak/>
        <w:t>SÚMULA Nº 460 DO TST</w:t>
      </w:r>
    </w:p>
    <w:p w:rsidR="004F5040" w:rsidRPr="00095471" w:rsidRDefault="004F5040" w:rsidP="004F5040">
      <w:pPr>
        <w:jc w:val="both"/>
        <w:rPr>
          <w:iCs/>
          <w:sz w:val="23"/>
          <w:szCs w:val="23"/>
        </w:rPr>
      </w:pPr>
      <w:r w:rsidRPr="00095471">
        <w:rPr>
          <w:iCs/>
          <w:sz w:val="23"/>
          <w:szCs w:val="23"/>
        </w:rPr>
        <w:t>VALE-TRANSPORTE. ÔNUS DA PROVA.</w:t>
      </w:r>
    </w:p>
    <w:p w:rsidR="004F5040" w:rsidRPr="00095471" w:rsidRDefault="004F5040" w:rsidP="004F5040">
      <w:pPr>
        <w:jc w:val="both"/>
        <w:rPr>
          <w:iCs/>
          <w:sz w:val="23"/>
          <w:szCs w:val="23"/>
        </w:rPr>
      </w:pPr>
      <w:r w:rsidRPr="00095471">
        <w:rPr>
          <w:iCs/>
          <w:sz w:val="23"/>
          <w:szCs w:val="23"/>
        </w:rPr>
        <w:t>É do empregador o ônus de comprovar que o empregado não satisfaz os requisitos indispensáveis para a concessão do vale-transporte ou não pretenda fazer uso do benefício.</w:t>
      </w:r>
    </w:p>
    <w:p w:rsidR="004F5040" w:rsidRPr="00095471" w:rsidRDefault="004F5040" w:rsidP="00F7766D">
      <w:pPr>
        <w:jc w:val="both"/>
        <w:rPr>
          <w:sz w:val="10"/>
          <w:szCs w:val="10"/>
        </w:rPr>
      </w:pPr>
    </w:p>
    <w:p w:rsidR="004F5040" w:rsidRPr="00095471" w:rsidRDefault="004F5040" w:rsidP="004F5040">
      <w:pPr>
        <w:rPr>
          <w:b/>
          <w:iCs/>
          <w:sz w:val="23"/>
          <w:szCs w:val="23"/>
        </w:rPr>
      </w:pPr>
      <w:r w:rsidRPr="00095471">
        <w:rPr>
          <w:b/>
          <w:iCs/>
          <w:sz w:val="23"/>
          <w:szCs w:val="23"/>
        </w:rPr>
        <w:t>SÚMULA Nº 461 DO TST</w:t>
      </w:r>
    </w:p>
    <w:p w:rsidR="004F5040" w:rsidRPr="00095471" w:rsidRDefault="004F5040" w:rsidP="004F5040">
      <w:pPr>
        <w:jc w:val="both"/>
        <w:rPr>
          <w:iCs/>
          <w:sz w:val="23"/>
          <w:szCs w:val="23"/>
        </w:rPr>
      </w:pPr>
      <w:r w:rsidRPr="00095471">
        <w:rPr>
          <w:iCs/>
          <w:sz w:val="23"/>
          <w:szCs w:val="23"/>
        </w:rPr>
        <w:t>FGTS. DIFERENÇAS. RECOLHIMENTO. ÔNUS DA PROVA.</w:t>
      </w:r>
    </w:p>
    <w:p w:rsidR="004F5040" w:rsidRPr="00095471" w:rsidRDefault="004F5040" w:rsidP="004F5040">
      <w:pPr>
        <w:jc w:val="both"/>
        <w:rPr>
          <w:iCs/>
          <w:sz w:val="23"/>
          <w:szCs w:val="23"/>
        </w:rPr>
      </w:pPr>
      <w:r w:rsidRPr="00095471">
        <w:rPr>
          <w:iCs/>
          <w:sz w:val="23"/>
          <w:szCs w:val="23"/>
        </w:rPr>
        <w:t>É do empregador o ônus da prova em relação à regularidade dos depósitos do FGTS, pois o pagamento é fato extintivo do direito do autor (art. 373, II, do CPC de 2015).</w:t>
      </w:r>
    </w:p>
    <w:p w:rsidR="004F5040" w:rsidRPr="00095471" w:rsidRDefault="004F5040" w:rsidP="00F7766D">
      <w:pPr>
        <w:jc w:val="both"/>
        <w:rPr>
          <w:sz w:val="10"/>
          <w:szCs w:val="10"/>
        </w:rPr>
      </w:pPr>
    </w:p>
    <w:p w:rsidR="004F5040" w:rsidRPr="00095471" w:rsidRDefault="004F5040" w:rsidP="004F5040">
      <w:pPr>
        <w:rPr>
          <w:b/>
          <w:iCs/>
          <w:sz w:val="23"/>
          <w:szCs w:val="23"/>
        </w:rPr>
      </w:pPr>
      <w:r w:rsidRPr="00095471">
        <w:rPr>
          <w:b/>
          <w:iCs/>
          <w:sz w:val="23"/>
          <w:szCs w:val="23"/>
        </w:rPr>
        <w:t>SÚMULA Nº 462 DO TST</w:t>
      </w:r>
    </w:p>
    <w:p w:rsidR="004F5040" w:rsidRPr="00095471" w:rsidRDefault="004F5040" w:rsidP="004F5040">
      <w:pPr>
        <w:widowControl w:val="0"/>
        <w:jc w:val="both"/>
        <w:rPr>
          <w:caps/>
          <w:snapToGrid w:val="0"/>
          <w:sz w:val="23"/>
          <w:szCs w:val="23"/>
        </w:rPr>
      </w:pPr>
      <w:r w:rsidRPr="00095471">
        <w:rPr>
          <w:caps/>
          <w:snapToGrid w:val="0"/>
          <w:sz w:val="23"/>
          <w:szCs w:val="23"/>
        </w:rPr>
        <w:t xml:space="preserve">multa do art. 477, § 8º, da clt. incidência. reconhecimento JUDICIAL da relação DE EMPREGO. </w:t>
      </w:r>
    </w:p>
    <w:p w:rsidR="004F5040" w:rsidRPr="00095471" w:rsidRDefault="004F5040" w:rsidP="004F5040">
      <w:pPr>
        <w:jc w:val="both"/>
        <w:rPr>
          <w:sz w:val="23"/>
          <w:szCs w:val="23"/>
        </w:rPr>
      </w:pPr>
      <w:r w:rsidRPr="00095471">
        <w:rPr>
          <w:sz w:val="23"/>
          <w:szCs w:val="23"/>
        </w:rPr>
        <w:t>A circunstância de a relação de emprego ter sido reconhecido apenas em juízo não tem o condão de afastar a incidência da multa prevista no art. 477, §8º, da CLT. A referida multa não será devida apenas quando, comprovadamente, o empregado der causa à mora no pagamento das verbas rescisórias.</w:t>
      </w:r>
    </w:p>
    <w:p w:rsidR="004F5040" w:rsidRDefault="004F5040" w:rsidP="00F7766D">
      <w:pPr>
        <w:jc w:val="both"/>
        <w:rPr>
          <w:b/>
          <w:i/>
          <w:sz w:val="24"/>
          <w:szCs w:val="24"/>
        </w:rPr>
      </w:pPr>
    </w:p>
    <w:p w:rsidR="00F7766D" w:rsidRPr="00B4525E" w:rsidRDefault="00F7766D" w:rsidP="00F7766D">
      <w:pPr>
        <w:jc w:val="both"/>
        <w:rPr>
          <w:b/>
          <w:i/>
          <w:sz w:val="24"/>
          <w:szCs w:val="24"/>
        </w:rPr>
      </w:pPr>
      <w:r>
        <w:rPr>
          <w:b/>
          <w:i/>
          <w:sz w:val="24"/>
          <w:szCs w:val="24"/>
        </w:rPr>
        <w:t>Matéria afetada ao Tribunal Pleno. Concessionária de serviço público. Terceirização ilícita. Dano moral coletivo. Configuração.</w:t>
      </w:r>
    </w:p>
    <w:p w:rsidR="00F7766D" w:rsidRPr="0021798A" w:rsidRDefault="00F7766D" w:rsidP="00F7766D">
      <w:pPr>
        <w:jc w:val="both"/>
      </w:pPr>
      <w:r>
        <w:rPr>
          <w:sz w:val="24"/>
          <w:szCs w:val="24"/>
        </w:rPr>
        <w:t>A utilização de mão de obra terceirizada na atividade fim é conduta irregular que atinge os interesses difusos de toda a coletividade de trabalhadores, pois em desacordo com a legislação de proteção ao trabalhador, na medida em que gera perda econômica, exacerba os malefícios à saúde e causa instabilidade no emprego e desestímulo à produtividade. Tratando-se de concessionária de serviço público, os malefícios são ainda maiores, pois a terceirização da atividade fim de empresa estatal gera a substituição indevida de empregados públicos, em flagrante violação à regra do concurso público prevista no art. 37, II, da CF. Assim, no caso em que o TRT, nos autos de ação civil pública ajuizada pelo Ministério Público do Trabalho, reconheceu a terceirização ilícita na área fim da empresa estatal tomadora d</w:t>
      </w:r>
      <w:r w:rsidR="00260B37">
        <w:rPr>
          <w:sz w:val="24"/>
          <w:szCs w:val="24"/>
        </w:rPr>
        <w:t>e</w:t>
      </w:r>
      <w:r>
        <w:rPr>
          <w:sz w:val="24"/>
          <w:szCs w:val="24"/>
        </w:rPr>
        <w:t xml:space="preserve"> serviços, mas indeferiu a pretensão de indenização por danos morais coletivos</w:t>
      </w:r>
      <w:r w:rsidR="00260B37">
        <w:rPr>
          <w:sz w:val="24"/>
          <w:szCs w:val="24"/>
        </w:rPr>
        <w:t>, deve prevalecer a decisão da t</w:t>
      </w:r>
      <w:r>
        <w:rPr>
          <w:sz w:val="24"/>
          <w:szCs w:val="24"/>
        </w:rPr>
        <w:t>urma do TST que condenou tomadora e prestadora d</w:t>
      </w:r>
      <w:r w:rsidR="00260B37">
        <w:rPr>
          <w:sz w:val="24"/>
          <w:szCs w:val="24"/>
        </w:rPr>
        <w:t>e</w:t>
      </w:r>
      <w:r>
        <w:rPr>
          <w:sz w:val="24"/>
          <w:szCs w:val="24"/>
        </w:rPr>
        <w:t xml:space="preserve"> serviços ao pagamento de indenização por danos morais coletivos a ser revertida ao Fundo de Amparo ao Trabalhador (FAT). Sob esses fundamentos, o Tribunal Pleno, por unanimidade, conheceu de recurso de embargos, por divergência jurisprudencial, e, no mérito, por maioria, negou-lhe provimento.</w:t>
      </w:r>
      <w:r w:rsidRPr="0021798A">
        <w:rPr>
          <w:sz w:val="24"/>
          <w:szCs w:val="24"/>
        </w:rPr>
        <w:t xml:space="preserve"> </w:t>
      </w:r>
      <w:r>
        <w:rPr>
          <w:sz w:val="24"/>
          <w:szCs w:val="24"/>
        </w:rPr>
        <w:t xml:space="preserve">Vencido o Ministro Ives Gandra Martins Filho. </w:t>
      </w:r>
      <w:hyperlink r:id="rId8" w:history="1">
        <w:r w:rsidRPr="003A0092">
          <w:rPr>
            <w:rStyle w:val="Hyperlink"/>
            <w:sz w:val="24"/>
            <w:szCs w:val="24"/>
          </w:rPr>
          <w:t>TST-E-ED-RR-117</w:t>
        </w:r>
        <w:r w:rsidRPr="003A0092">
          <w:rPr>
            <w:rStyle w:val="Hyperlink"/>
            <w:sz w:val="24"/>
            <w:szCs w:val="24"/>
          </w:rPr>
          <w:t>4</w:t>
        </w:r>
        <w:r w:rsidRPr="003A0092">
          <w:rPr>
            <w:rStyle w:val="Hyperlink"/>
            <w:sz w:val="24"/>
            <w:szCs w:val="24"/>
          </w:rPr>
          <w:t>00-47.2005.5.14.0001</w:t>
        </w:r>
      </w:hyperlink>
      <w:r w:rsidRPr="003A0092">
        <w:rPr>
          <w:sz w:val="24"/>
          <w:szCs w:val="24"/>
          <w:u w:val="single"/>
        </w:rPr>
        <w:t xml:space="preserve">, Tribunal Pleno, rel. </w:t>
      </w:r>
      <w:r>
        <w:rPr>
          <w:sz w:val="24"/>
          <w:szCs w:val="24"/>
          <w:u w:val="single"/>
        </w:rPr>
        <w:t>Min. Cláudio Mascarenhas Brandão, 30.5.2016</w:t>
      </w:r>
    </w:p>
    <w:p w:rsidR="00F7766D" w:rsidRDefault="00F7766D" w:rsidP="00340D16">
      <w:pPr>
        <w:jc w:val="both"/>
        <w:rPr>
          <w:sz w:val="24"/>
        </w:rPr>
      </w:pPr>
    </w:p>
    <w:p w:rsidR="00F753D1" w:rsidRPr="00CE7555" w:rsidRDefault="00F753D1" w:rsidP="00F753D1">
      <w:pPr>
        <w:pStyle w:val="Corpo"/>
        <w:pBdr>
          <w:top w:val="single" w:sz="4" w:space="1" w:color="auto"/>
          <w:left w:val="single" w:sz="4" w:space="4" w:color="auto"/>
          <w:bottom w:val="single" w:sz="4" w:space="1" w:color="auto"/>
          <w:right w:val="single" w:sz="4" w:space="4" w:color="auto"/>
        </w:pBdr>
        <w:shd w:val="solid" w:color="B8CCE4" w:fill="B8CCE4"/>
        <w:tabs>
          <w:tab w:val="center" w:pos="4819"/>
          <w:tab w:val="left" w:pos="6759"/>
        </w:tabs>
        <w:spacing w:line="240" w:lineRule="auto"/>
        <w:ind w:firstLine="0"/>
        <w:jc w:val="center"/>
        <w:rPr>
          <w:rFonts w:ascii="Times New Roman" w:hAnsi="Times New Roman" w:cs="Times New Roman"/>
          <w:b/>
          <w:bCs/>
          <w:shadow/>
          <w:color w:val="auto"/>
          <w:sz w:val="25"/>
          <w:szCs w:val="25"/>
          <w:lang w:val="pt-BR"/>
        </w:rPr>
      </w:pPr>
      <w:r w:rsidRPr="00CE7555">
        <w:rPr>
          <w:rFonts w:ascii="Times New Roman" w:hAnsi="Times New Roman" w:cs="Times New Roman"/>
          <w:b/>
          <w:bCs/>
          <w:shadow/>
          <w:color w:val="auto"/>
          <w:sz w:val="25"/>
          <w:szCs w:val="25"/>
          <w:lang w:val="pt-BR"/>
        </w:rPr>
        <w:t xml:space="preserve">SUBSEÇÃO </w:t>
      </w:r>
      <w:r>
        <w:rPr>
          <w:rFonts w:ascii="Times New Roman" w:hAnsi="Times New Roman" w:cs="Times New Roman"/>
          <w:b/>
          <w:bCs/>
          <w:shadow/>
          <w:color w:val="auto"/>
          <w:sz w:val="25"/>
          <w:szCs w:val="25"/>
          <w:lang w:val="pt-BR"/>
        </w:rPr>
        <w:t>I</w:t>
      </w:r>
      <w:r w:rsidRPr="00CE7555">
        <w:rPr>
          <w:rFonts w:ascii="Times New Roman" w:hAnsi="Times New Roman" w:cs="Times New Roman"/>
          <w:b/>
          <w:bCs/>
          <w:shadow/>
          <w:color w:val="auto"/>
          <w:sz w:val="25"/>
          <w:szCs w:val="25"/>
          <w:lang w:val="pt-BR"/>
        </w:rPr>
        <w:t xml:space="preserve"> ESPECIALIZADA EM DISSÍDIOS INDIVIDUAIS</w:t>
      </w:r>
    </w:p>
    <w:p w:rsidR="00F7766D" w:rsidRDefault="00F7766D" w:rsidP="00F7766D">
      <w:pPr>
        <w:jc w:val="both"/>
        <w:rPr>
          <w:b/>
          <w:i/>
          <w:sz w:val="24"/>
          <w:szCs w:val="24"/>
        </w:rPr>
      </w:pPr>
    </w:p>
    <w:p w:rsidR="00F7766D" w:rsidRPr="009F6CD0" w:rsidRDefault="00F7766D" w:rsidP="00F7766D">
      <w:pPr>
        <w:jc w:val="both"/>
        <w:rPr>
          <w:b/>
          <w:i/>
          <w:sz w:val="24"/>
          <w:szCs w:val="24"/>
        </w:rPr>
      </w:pPr>
      <w:r>
        <w:rPr>
          <w:b/>
          <w:i/>
          <w:sz w:val="24"/>
          <w:szCs w:val="24"/>
        </w:rPr>
        <w:t>A</w:t>
      </w:r>
      <w:r w:rsidRPr="009F6CD0">
        <w:rPr>
          <w:b/>
          <w:i/>
          <w:sz w:val="24"/>
          <w:szCs w:val="24"/>
        </w:rPr>
        <w:t>cordo direto entre empregados e a empresa</w:t>
      </w:r>
      <w:r>
        <w:rPr>
          <w:b/>
          <w:i/>
          <w:sz w:val="24"/>
          <w:szCs w:val="24"/>
        </w:rPr>
        <w:t>. Recepção do art. 617 da CLT pelo art. 8º, VI, da CF. Recusa d</w:t>
      </w:r>
      <w:r w:rsidRPr="009F6CD0">
        <w:rPr>
          <w:b/>
          <w:i/>
          <w:sz w:val="24"/>
          <w:szCs w:val="24"/>
        </w:rPr>
        <w:t>e participação do sindicato da categoria profissional</w:t>
      </w:r>
      <w:r>
        <w:rPr>
          <w:b/>
          <w:i/>
          <w:sz w:val="24"/>
          <w:szCs w:val="24"/>
        </w:rPr>
        <w:t xml:space="preserve"> na negociação coletiva. Necessidade de prova cabal.</w:t>
      </w:r>
    </w:p>
    <w:p w:rsidR="00F7766D" w:rsidRDefault="00F7766D" w:rsidP="00F7766D">
      <w:pPr>
        <w:pStyle w:val="Pr-formataoHTML"/>
        <w:jc w:val="both"/>
        <w:rPr>
          <w:rFonts w:ascii="Times New Roman" w:hAnsi="Times New Roman"/>
          <w:sz w:val="24"/>
          <w:szCs w:val="24"/>
          <w:u w:val="single"/>
        </w:rPr>
      </w:pPr>
      <w:r w:rsidRPr="00F7766D">
        <w:rPr>
          <w:rFonts w:ascii="Times New Roman" w:eastAsia="Calibri" w:hAnsi="Times New Roman" w:cs="Times New Roman"/>
          <w:sz w:val="24"/>
          <w:szCs w:val="24"/>
          <w:lang w:eastAsia="en-US"/>
        </w:rPr>
        <w:t xml:space="preserve">O art. 8º, VI, da CF estabelece ser obrigatória a participação dos sindicatos nas negociações coletivas de trabalho. Já o art. 617, </w:t>
      </w:r>
      <w:r w:rsidRPr="00F7766D">
        <w:rPr>
          <w:rFonts w:ascii="Times New Roman" w:eastAsia="Calibri" w:hAnsi="Times New Roman" w:cs="Times New Roman"/>
          <w:i/>
          <w:sz w:val="24"/>
          <w:szCs w:val="24"/>
          <w:lang w:eastAsia="en-US"/>
        </w:rPr>
        <w:t>caput</w:t>
      </w:r>
      <w:r w:rsidRPr="00F7766D">
        <w:rPr>
          <w:rFonts w:ascii="Times New Roman" w:eastAsia="Calibri" w:hAnsi="Times New Roman" w:cs="Times New Roman"/>
          <w:sz w:val="24"/>
          <w:szCs w:val="24"/>
          <w:lang w:eastAsia="en-US"/>
        </w:rPr>
        <w:t xml:space="preserve">, da CLT, dispõe que os empregados que decidirem celebrar acordo coletivo de trabalho com as respectivas empresas darão ciência de sua resolução, por escrito, ao sindicato representativo da categoria profissional, que terá o prazo de oito dias para assumir a direção dos entendimentos entre os interessados. Caso não sejam tomadas as medidas negociais por parte do sindicato representativo da categoria, o § 1º do art. 617 da CLT autoriza a formalização de acordo diretamente entre as partes interessadas. Nesse sentido, reputa-se válido acordo firmado diretamente entre o empregador e empregados, sem a intermediação do sindicato da categoria profissional, desde que demonstradas a livre manifestação de vontade dos empregados em assembleia e a efetiva recusa da entidade sindical em consultar a coletividade interessada. O art. 617 da CLT, portanto, foi recepcionado pela Constituição Federal, mas em caráter excepcional, pois é imprescindível que o sindicato seja instado a participar da negociação coletiva. Somente a demonstração da inequívoca resistência da cúpula sindical em consultar as bases autoriza os próprios interessados, regularmente convocados, a firmarem diretamente o pacto coletivo com a empresa, na forma da lei. No caso concreto, em negociação direta entre o empregador e comissão de empregados acordou-se a fixação de jornada de trabalho em turnos ininterruptos de revezamento de doze horas. O TRT, todavia, com fundamento no art. 8º, VI, da CF, considerou inválido o referido acordo, deixando, porém, de apreciar os requisitos previstos no art. 617 da CLT. Assim, a SBDI-I, por unanimidade, conheceu dos embargos, no tópico, por divergência jurisprudencial, e, no mérito, por maioria, deu-lhes provimento parcial para, diante da recepção do art. 617 da CLT pela Constituição da República de 1988, determinar o retorno dos autos ao TRT de origem a fim de que aprecie o atendimento ou não dos requisitos exigidos no art. 617 da CLT para a validade do acordo coletivo de trabalho firmado sem assistência sindical, máxime no tocante à comprovação cabal ou não de recusa do sindicato da categoria profissional em participar da negociação coletiva. Vencidos os Ministros Luiz Philippe Vieira de Mello Filho, relator, Augusto César Leite de Carvalho, José Roberto Freire Pimenta e Hugo Carlos Scheuermann. </w:t>
      </w:r>
      <w:hyperlink r:id="rId9" w:history="1">
        <w:r w:rsidRPr="00824743">
          <w:rPr>
            <w:rStyle w:val="Hyperlink"/>
            <w:rFonts w:ascii="Times New Roman" w:hAnsi="Times New Roman"/>
            <w:sz w:val="24"/>
            <w:szCs w:val="24"/>
          </w:rPr>
          <w:t>TST-E-ED-RR-1134676</w:t>
        </w:r>
        <w:r w:rsidRPr="00824743">
          <w:rPr>
            <w:rStyle w:val="Hyperlink"/>
            <w:rFonts w:ascii="Times New Roman" w:hAnsi="Times New Roman"/>
            <w:sz w:val="24"/>
            <w:szCs w:val="24"/>
          </w:rPr>
          <w:t>-</w:t>
        </w:r>
        <w:r w:rsidRPr="00824743">
          <w:rPr>
            <w:rStyle w:val="Hyperlink"/>
            <w:rFonts w:ascii="Times New Roman" w:hAnsi="Times New Roman"/>
            <w:sz w:val="24"/>
            <w:szCs w:val="24"/>
          </w:rPr>
          <w:t>43.2003.5.04.0900</w:t>
        </w:r>
      </w:hyperlink>
      <w:r w:rsidRPr="00824743">
        <w:rPr>
          <w:rFonts w:ascii="Times New Roman" w:hAnsi="Times New Roman"/>
          <w:sz w:val="24"/>
          <w:szCs w:val="24"/>
          <w:u w:val="single"/>
        </w:rPr>
        <w:t>, SBDI-I, rel. Luiz Philippe Vieira de Mello Filho, red. p/ acórdão Min. João Oreste Dalazen, 19.5.2016</w:t>
      </w:r>
    </w:p>
    <w:p w:rsidR="00F7766D" w:rsidRDefault="00F7766D" w:rsidP="00F7766D">
      <w:pPr>
        <w:pStyle w:val="Pr-formataoHTML"/>
        <w:jc w:val="both"/>
        <w:rPr>
          <w:rFonts w:ascii="Times New Roman" w:hAnsi="Times New Roman"/>
          <w:sz w:val="24"/>
          <w:szCs w:val="24"/>
          <w:u w:val="single"/>
        </w:rPr>
      </w:pPr>
    </w:p>
    <w:p w:rsidR="00F7766D" w:rsidRDefault="00F7766D" w:rsidP="00F7766D">
      <w:pPr>
        <w:jc w:val="both"/>
        <w:rPr>
          <w:rFonts w:eastAsia="Calibri"/>
          <w:b/>
          <w:i/>
          <w:sz w:val="24"/>
          <w:szCs w:val="24"/>
        </w:rPr>
      </w:pPr>
      <w:r>
        <w:rPr>
          <w:rFonts w:eastAsia="Calibri"/>
          <w:b/>
          <w:i/>
          <w:sz w:val="24"/>
          <w:szCs w:val="24"/>
        </w:rPr>
        <w:t>Atleta profissional. Lei nº 9.615/98 (Lei Pelé). Contratos sucessivos. Unicidade. Impossibilidade. Prescrição bienal contada a partir da extinção de cada contrato.</w:t>
      </w:r>
    </w:p>
    <w:p w:rsidR="00F7766D" w:rsidRDefault="00F7766D" w:rsidP="00F7766D">
      <w:pPr>
        <w:jc w:val="both"/>
        <w:rPr>
          <w:rFonts w:eastAsia="Calibri"/>
          <w:sz w:val="24"/>
          <w:szCs w:val="24"/>
        </w:rPr>
      </w:pPr>
      <w:r>
        <w:rPr>
          <w:rFonts w:eastAsia="Calibri"/>
          <w:sz w:val="24"/>
          <w:szCs w:val="24"/>
        </w:rPr>
        <w:t xml:space="preserve">Contratos sucessivos firmados com atleta profissional, por tempo determinado, </w:t>
      </w:r>
      <w:r w:rsidRPr="00BB7DB8">
        <w:rPr>
          <w:rFonts w:eastAsia="Calibri"/>
          <w:sz w:val="24"/>
          <w:szCs w:val="24"/>
        </w:rPr>
        <w:t>não caracteriza</w:t>
      </w:r>
      <w:r>
        <w:rPr>
          <w:rFonts w:eastAsia="Calibri"/>
          <w:sz w:val="24"/>
          <w:szCs w:val="24"/>
        </w:rPr>
        <w:t>m</w:t>
      </w:r>
      <w:r w:rsidRPr="00BB7DB8">
        <w:rPr>
          <w:rFonts w:eastAsia="Calibri"/>
          <w:sz w:val="24"/>
          <w:szCs w:val="24"/>
        </w:rPr>
        <w:t xml:space="preserve"> </w:t>
      </w:r>
      <w:r>
        <w:rPr>
          <w:rFonts w:eastAsia="Calibri"/>
          <w:sz w:val="24"/>
          <w:szCs w:val="24"/>
        </w:rPr>
        <w:t>a unicidade contratual</w:t>
      </w:r>
      <w:r w:rsidRPr="00BB7DB8">
        <w:rPr>
          <w:rFonts w:eastAsia="Calibri"/>
          <w:sz w:val="24"/>
          <w:szCs w:val="24"/>
        </w:rPr>
        <w:t>, salvo se comprova</w:t>
      </w:r>
      <w:r>
        <w:rPr>
          <w:rFonts w:eastAsia="Calibri"/>
          <w:sz w:val="24"/>
          <w:szCs w:val="24"/>
        </w:rPr>
        <w:t>da a</w:t>
      </w:r>
      <w:r w:rsidRPr="00BB7DB8">
        <w:rPr>
          <w:rFonts w:eastAsia="Calibri"/>
          <w:sz w:val="24"/>
          <w:szCs w:val="24"/>
        </w:rPr>
        <w:t xml:space="preserve"> fraude.</w:t>
      </w:r>
      <w:r>
        <w:rPr>
          <w:rFonts w:eastAsia="Calibri"/>
          <w:sz w:val="24"/>
          <w:szCs w:val="24"/>
        </w:rPr>
        <w:t xml:space="preserve"> A Lei nº 9.615/98 (Lei Pelé) regula expressamente a forma de renovação ou prorrogação do contrato por prazo determinado, sem que isso implique na conversão em contrato por prazo indeterminado, pois o objetivo do legislador foi preservar a liberdade na carreira, não ficando o atleta restrito a um único clube. Assim, não se aplica o art. 453 da CLT, devendo a prescrição bienal incidir a partir da data de extinção de cada contrato. </w:t>
      </w:r>
      <w:r w:rsidRPr="00B43B0C">
        <w:rPr>
          <w:rFonts w:eastAsia="Calibri"/>
          <w:sz w:val="24"/>
          <w:szCs w:val="24"/>
        </w:rPr>
        <w:t xml:space="preserve">Sob esses fundamentos, a SBDI-I, por unanimidade, conheceu dos </w:t>
      </w:r>
      <w:r>
        <w:rPr>
          <w:rFonts w:eastAsia="Calibri"/>
          <w:sz w:val="24"/>
          <w:szCs w:val="24"/>
        </w:rPr>
        <w:t>e</w:t>
      </w:r>
      <w:r w:rsidRPr="00B43B0C">
        <w:rPr>
          <w:rFonts w:eastAsia="Calibri"/>
          <w:sz w:val="24"/>
          <w:szCs w:val="24"/>
        </w:rPr>
        <w:t>mbargos, por divergência jurisprudencial e, no mérito, por maioria, deu-lhe</w:t>
      </w:r>
      <w:r>
        <w:rPr>
          <w:rFonts w:eastAsia="Calibri"/>
          <w:sz w:val="24"/>
          <w:szCs w:val="24"/>
        </w:rPr>
        <w:t>s</w:t>
      </w:r>
      <w:r w:rsidRPr="00B43B0C">
        <w:rPr>
          <w:rFonts w:eastAsia="Calibri"/>
          <w:sz w:val="24"/>
          <w:szCs w:val="24"/>
        </w:rPr>
        <w:t xml:space="preserve"> provimento para restabelecer a decisão </w:t>
      </w:r>
      <w:r>
        <w:rPr>
          <w:rFonts w:eastAsia="Calibri"/>
          <w:sz w:val="24"/>
          <w:szCs w:val="24"/>
        </w:rPr>
        <w:t>do R</w:t>
      </w:r>
      <w:r w:rsidRPr="00B43B0C">
        <w:rPr>
          <w:rFonts w:eastAsia="Calibri"/>
          <w:sz w:val="24"/>
          <w:szCs w:val="24"/>
        </w:rPr>
        <w:t>egional que declarou a prescrição do primeiro contrato d</w:t>
      </w:r>
      <w:r>
        <w:rPr>
          <w:rFonts w:eastAsia="Calibri"/>
          <w:sz w:val="24"/>
          <w:szCs w:val="24"/>
        </w:rPr>
        <w:t>o atleta e determinar</w:t>
      </w:r>
      <w:r w:rsidRPr="00B43B0C">
        <w:rPr>
          <w:rFonts w:eastAsia="Calibri"/>
          <w:sz w:val="24"/>
          <w:szCs w:val="24"/>
        </w:rPr>
        <w:t xml:space="preserve"> o retorno dos autos à </w:t>
      </w:r>
      <w:r>
        <w:rPr>
          <w:rFonts w:eastAsia="Calibri"/>
          <w:sz w:val="24"/>
          <w:szCs w:val="24"/>
        </w:rPr>
        <w:t>turma</w:t>
      </w:r>
      <w:r w:rsidRPr="00B43B0C">
        <w:rPr>
          <w:rFonts w:eastAsia="Calibri"/>
          <w:sz w:val="24"/>
          <w:szCs w:val="24"/>
        </w:rPr>
        <w:t xml:space="preserve"> para julgamento dos temas e</w:t>
      </w:r>
      <w:r>
        <w:rPr>
          <w:rFonts w:eastAsia="Calibri"/>
          <w:sz w:val="24"/>
          <w:szCs w:val="24"/>
        </w:rPr>
        <w:t xml:space="preserve"> recursos julgados prejudicados. V</w:t>
      </w:r>
      <w:r w:rsidRPr="00B43B0C">
        <w:rPr>
          <w:rFonts w:eastAsia="Calibri"/>
          <w:sz w:val="24"/>
          <w:szCs w:val="24"/>
        </w:rPr>
        <w:t xml:space="preserve">encidos os Ministros José Roberto Freire Pimenta, Augusto César Leite de Carvalho, Hugo Carlos Scheuermann e Cláudio Mascarenhas Brandão. </w:t>
      </w:r>
      <w:hyperlink r:id="rId10" w:history="1">
        <w:r w:rsidRPr="00260B37">
          <w:rPr>
            <w:rStyle w:val="Hyperlink"/>
            <w:rFonts w:eastAsia="Calibri"/>
            <w:sz w:val="24"/>
            <w:szCs w:val="24"/>
          </w:rPr>
          <w:t>TST-E-ED-ARR-452-36.2012.5.03.0113</w:t>
        </w:r>
      </w:hyperlink>
      <w:r w:rsidRPr="008F371F">
        <w:rPr>
          <w:rFonts w:eastAsia="Calibri"/>
          <w:sz w:val="24"/>
          <w:szCs w:val="24"/>
          <w:u w:val="single"/>
        </w:rPr>
        <w:t>, SBDI-I, rel. Mi</w:t>
      </w:r>
      <w:r>
        <w:rPr>
          <w:rFonts w:eastAsia="Calibri"/>
          <w:sz w:val="24"/>
          <w:szCs w:val="24"/>
          <w:u w:val="single"/>
        </w:rPr>
        <w:t>n. Aloysio Corrêa da Veiga, 19.</w:t>
      </w:r>
      <w:r w:rsidRPr="008F371F">
        <w:rPr>
          <w:rFonts w:eastAsia="Calibri"/>
          <w:sz w:val="24"/>
          <w:szCs w:val="24"/>
          <w:u w:val="single"/>
        </w:rPr>
        <w:t>5.2016</w:t>
      </w:r>
    </w:p>
    <w:p w:rsidR="00F7766D" w:rsidRDefault="00F7766D" w:rsidP="00F7766D">
      <w:pPr>
        <w:pStyle w:val="Pr-formataoHTML"/>
        <w:jc w:val="both"/>
        <w:rPr>
          <w:rFonts w:ascii="Times New Roman" w:hAnsi="Times New Roman"/>
          <w:sz w:val="24"/>
          <w:szCs w:val="24"/>
          <w:u w:val="single"/>
        </w:rPr>
      </w:pPr>
    </w:p>
    <w:p w:rsidR="00F7766D" w:rsidRPr="003D5DE6" w:rsidRDefault="00F7766D" w:rsidP="00F7766D">
      <w:pPr>
        <w:pStyle w:val="Corpo"/>
        <w:spacing w:line="240" w:lineRule="auto"/>
        <w:ind w:firstLine="0"/>
        <w:rPr>
          <w:rFonts w:ascii="Times New Roman" w:hAnsi="Times New Roman" w:cs="Times New Roman"/>
          <w:b/>
          <w:bCs/>
          <w:i/>
          <w:lang w:val="pt-BR"/>
        </w:rPr>
      </w:pPr>
      <w:r w:rsidRPr="003D5DE6">
        <w:rPr>
          <w:rFonts w:ascii="Times New Roman" w:hAnsi="Times New Roman" w:cs="Times New Roman"/>
          <w:b/>
          <w:bCs/>
          <w:i/>
          <w:lang w:val="pt-BR"/>
        </w:rPr>
        <w:t>Aviso-prévio indenizado. Projeção do contrato de trabalho. Adesão a</w:t>
      </w:r>
      <w:r>
        <w:rPr>
          <w:rFonts w:ascii="Times New Roman" w:hAnsi="Times New Roman" w:cs="Times New Roman"/>
          <w:b/>
          <w:bCs/>
          <w:i/>
          <w:lang w:val="pt-BR"/>
        </w:rPr>
        <w:t xml:space="preserve"> programa de demissão voluntário</w:t>
      </w:r>
      <w:r w:rsidRPr="003D5DE6">
        <w:rPr>
          <w:rFonts w:ascii="Times New Roman" w:hAnsi="Times New Roman" w:cs="Times New Roman"/>
          <w:b/>
          <w:bCs/>
          <w:i/>
          <w:lang w:val="pt-BR"/>
        </w:rPr>
        <w:t xml:space="preserve"> instituído </w:t>
      </w:r>
      <w:r w:rsidRPr="003D5DE6">
        <w:rPr>
          <w:rFonts w:ascii="Times New Roman" w:hAnsi="Times New Roman" w:cs="Times New Roman"/>
          <w:b/>
          <w:i/>
          <w:lang w:val="pt-BR"/>
        </w:rPr>
        <w:t>no curso desse período</w:t>
      </w:r>
      <w:r w:rsidRPr="003D5DE6">
        <w:rPr>
          <w:rFonts w:ascii="Times New Roman" w:hAnsi="Times New Roman" w:cs="Times New Roman"/>
          <w:b/>
          <w:bCs/>
          <w:i/>
          <w:lang w:val="pt-BR"/>
        </w:rPr>
        <w:t xml:space="preserve">. </w:t>
      </w:r>
      <w:r>
        <w:rPr>
          <w:rFonts w:ascii="Times New Roman" w:hAnsi="Times New Roman" w:cs="Times New Roman"/>
          <w:b/>
          <w:bCs/>
          <w:i/>
          <w:lang w:val="pt-BR"/>
        </w:rPr>
        <w:t>Possibilidade.</w:t>
      </w:r>
    </w:p>
    <w:p w:rsidR="00F7766D" w:rsidRPr="003D5DE6" w:rsidRDefault="00F7766D" w:rsidP="00F7766D">
      <w:pPr>
        <w:pStyle w:val="Corpo"/>
        <w:spacing w:line="240" w:lineRule="auto"/>
        <w:ind w:firstLine="0"/>
        <w:rPr>
          <w:rFonts w:ascii="Times New Roman" w:hAnsi="Times New Roman" w:cs="Times New Roman"/>
          <w:bCs/>
          <w:u w:val="single"/>
          <w:lang w:val="pt-BR"/>
        </w:rPr>
      </w:pPr>
      <w:r w:rsidRPr="003D5DE6">
        <w:rPr>
          <w:rFonts w:ascii="Times New Roman" w:hAnsi="Times New Roman" w:cs="Times New Roman"/>
          <w:lang w:val="pt-BR"/>
        </w:rPr>
        <w:t>O aviso</w:t>
      </w:r>
      <w:r>
        <w:rPr>
          <w:rFonts w:ascii="Times New Roman" w:hAnsi="Times New Roman" w:cs="Times New Roman"/>
          <w:lang w:val="pt-BR"/>
        </w:rPr>
        <w:t>-</w:t>
      </w:r>
      <w:r w:rsidRPr="003D5DE6">
        <w:rPr>
          <w:rFonts w:ascii="Times New Roman" w:hAnsi="Times New Roman" w:cs="Times New Roman"/>
          <w:lang w:val="pt-BR"/>
        </w:rPr>
        <w:t>prévio, ainda que indenizado, integra o contrato de trabalho para todos os efeitos</w:t>
      </w:r>
      <w:r>
        <w:rPr>
          <w:rFonts w:ascii="Times New Roman" w:hAnsi="Times New Roman" w:cs="Times New Roman"/>
          <w:lang w:val="pt-BR"/>
        </w:rPr>
        <w:t xml:space="preserve"> (art. 487, § 1º, da CLT). Assim, vigente o contrato de trabalho até o final da projeção do aviso-prévio, tem o empregado direito a aderir a</w:t>
      </w:r>
      <w:r w:rsidRPr="003D5DE6">
        <w:rPr>
          <w:rFonts w:ascii="Times New Roman" w:hAnsi="Times New Roman" w:cs="Times New Roman"/>
          <w:lang w:val="pt-BR"/>
        </w:rPr>
        <w:t xml:space="preserve"> plano de demissão voluntária instituído pela empresa no curso desse período. </w:t>
      </w:r>
      <w:r>
        <w:rPr>
          <w:rFonts w:ascii="Times New Roman" w:hAnsi="Times New Roman" w:cs="Times New Roman"/>
          <w:lang w:val="pt-BR"/>
        </w:rPr>
        <w:t>Sob</w:t>
      </w:r>
      <w:r w:rsidRPr="003D5DE6">
        <w:rPr>
          <w:rFonts w:ascii="Times New Roman" w:hAnsi="Times New Roman" w:cs="Times New Roman"/>
          <w:lang w:val="pt-BR"/>
        </w:rPr>
        <w:t xml:space="preserve"> esse entendimento, a SBDI</w:t>
      </w:r>
      <w:r>
        <w:rPr>
          <w:rFonts w:ascii="Times New Roman" w:hAnsi="Times New Roman" w:cs="Times New Roman"/>
          <w:lang w:val="pt-BR"/>
        </w:rPr>
        <w:t>-I</w:t>
      </w:r>
      <w:r w:rsidRPr="003D5DE6">
        <w:rPr>
          <w:rFonts w:ascii="Times New Roman" w:hAnsi="Times New Roman" w:cs="Times New Roman"/>
          <w:lang w:val="pt-BR"/>
        </w:rPr>
        <w:t>, por maioria, conheceu dos embargos por divergência jurisprudencial e, no mérito, negou-lhes</w:t>
      </w:r>
      <w:r>
        <w:rPr>
          <w:rFonts w:ascii="Times New Roman" w:hAnsi="Times New Roman" w:cs="Times New Roman"/>
          <w:lang w:val="pt-BR"/>
        </w:rPr>
        <w:t xml:space="preserve"> provimento. Vencido o Ministro Ives Gandra Martins Filho. </w:t>
      </w:r>
      <w:hyperlink r:id="rId11" w:history="1">
        <w:r w:rsidRPr="00260B37">
          <w:rPr>
            <w:rStyle w:val="Hyperlink"/>
            <w:rFonts w:ascii="Times New Roman" w:hAnsi="Times New Roman"/>
            <w:bCs/>
            <w:lang w:val="pt-BR"/>
          </w:rPr>
          <w:t>TST-E-ED-RR-2303-30.2012.5.02.0472</w:t>
        </w:r>
      </w:hyperlink>
      <w:r w:rsidRPr="003D5DE6">
        <w:rPr>
          <w:rFonts w:ascii="Times New Roman" w:hAnsi="Times New Roman" w:cs="Times New Roman"/>
          <w:bCs/>
          <w:u w:val="single"/>
          <w:lang w:val="pt-BR"/>
        </w:rPr>
        <w:t>, SBDI-I, rel. Min. Brito Pereira, 19.5.2016</w:t>
      </w:r>
    </w:p>
    <w:p w:rsidR="00F7766D" w:rsidRDefault="00F7766D" w:rsidP="00F7766D">
      <w:pPr>
        <w:pStyle w:val="Pr-formataoHTML"/>
        <w:jc w:val="both"/>
        <w:rPr>
          <w:rFonts w:ascii="Times New Roman" w:hAnsi="Times New Roman"/>
          <w:sz w:val="24"/>
          <w:szCs w:val="24"/>
          <w:u w:val="single"/>
        </w:rPr>
      </w:pPr>
    </w:p>
    <w:p w:rsidR="00E4188A" w:rsidRDefault="00E4188A" w:rsidP="00C6738C">
      <w:pPr>
        <w:rPr>
          <w:sz w:val="10"/>
          <w:szCs w:val="10"/>
        </w:rPr>
      </w:pPr>
    </w:p>
    <w:p w:rsidR="00E4188A" w:rsidRDefault="00E4188A" w:rsidP="00C6738C">
      <w:pPr>
        <w:rPr>
          <w:sz w:val="10"/>
          <w:szCs w:val="10"/>
        </w:rPr>
      </w:pPr>
    </w:p>
    <w:p w:rsidR="00340D16" w:rsidRDefault="00340D16" w:rsidP="00C6738C">
      <w:pPr>
        <w:rPr>
          <w:sz w:val="10"/>
          <w:szCs w:val="10"/>
        </w:rPr>
      </w:pPr>
    </w:p>
    <w:p w:rsidR="00F753D1" w:rsidRDefault="00F753D1" w:rsidP="00C6738C">
      <w:pPr>
        <w:rPr>
          <w:sz w:val="10"/>
          <w:szCs w:val="10"/>
        </w:rPr>
      </w:pPr>
    </w:p>
    <w:p w:rsidR="00F753D1" w:rsidRDefault="00F753D1" w:rsidP="00C6738C">
      <w:pPr>
        <w:rPr>
          <w:sz w:val="10"/>
          <w:szCs w:val="10"/>
        </w:rPr>
      </w:pPr>
    </w:p>
    <w:p w:rsidR="00F753D1" w:rsidRDefault="00F753D1" w:rsidP="00C6738C">
      <w:pPr>
        <w:rPr>
          <w:sz w:val="10"/>
          <w:szCs w:val="10"/>
        </w:rPr>
      </w:pPr>
    </w:p>
    <w:p w:rsidR="00340D16" w:rsidRPr="001D6AC9" w:rsidRDefault="00340D16" w:rsidP="00C6738C">
      <w:pPr>
        <w:rPr>
          <w:sz w:val="10"/>
          <w:szCs w:val="10"/>
        </w:rPr>
      </w:pPr>
    </w:p>
    <w:p w:rsidR="00184590" w:rsidRPr="00CE7555" w:rsidRDefault="00184590" w:rsidP="00D11B24">
      <w:pPr>
        <w:pStyle w:val="Corpodetexto"/>
        <w:pBdr>
          <w:top w:val="single" w:sz="4" w:space="1" w:color="auto"/>
          <w:left w:val="single" w:sz="4" w:space="0" w:color="auto"/>
          <w:bottom w:val="single" w:sz="4" w:space="1" w:color="auto"/>
          <w:right w:val="single" w:sz="4" w:space="1" w:color="auto"/>
        </w:pBdr>
        <w:shd w:val="clear" w:color="auto" w:fill="B8CCE4"/>
        <w:outlineLvl w:val="0"/>
        <w:rPr>
          <w:b w:val="0"/>
          <w:bCs w:val="0"/>
          <w:snapToGrid w:val="0"/>
          <w:sz w:val="25"/>
          <w:szCs w:val="25"/>
        </w:rPr>
      </w:pPr>
      <w:r w:rsidRPr="00CE7555">
        <w:rPr>
          <w:b w:val="0"/>
          <w:bCs w:val="0"/>
          <w:snapToGrid w:val="0"/>
          <w:sz w:val="25"/>
          <w:szCs w:val="25"/>
        </w:rPr>
        <w:t xml:space="preserve">Informativo TST é mantido pela </w:t>
      </w:r>
    </w:p>
    <w:p w:rsidR="00184590" w:rsidRPr="00CE7555" w:rsidRDefault="00184590" w:rsidP="00D11B24">
      <w:pPr>
        <w:pStyle w:val="Corpodetexto"/>
        <w:pBdr>
          <w:top w:val="single" w:sz="4" w:space="1" w:color="auto"/>
          <w:left w:val="single" w:sz="4" w:space="0" w:color="auto"/>
          <w:bottom w:val="single" w:sz="4" w:space="1" w:color="auto"/>
          <w:right w:val="single" w:sz="4" w:space="1" w:color="auto"/>
        </w:pBdr>
        <w:shd w:val="clear" w:color="auto" w:fill="B8CCE4"/>
        <w:rPr>
          <w:b w:val="0"/>
          <w:bCs w:val="0"/>
          <w:snapToGrid w:val="0"/>
          <w:sz w:val="25"/>
          <w:szCs w:val="25"/>
        </w:rPr>
      </w:pPr>
      <w:r w:rsidRPr="00CE7555">
        <w:rPr>
          <w:b w:val="0"/>
          <w:bCs w:val="0"/>
          <w:snapToGrid w:val="0"/>
          <w:sz w:val="25"/>
          <w:szCs w:val="25"/>
        </w:rPr>
        <w:t>Coordenadoria de Jurisprudência – CJUR</w:t>
      </w:r>
    </w:p>
    <w:p w:rsidR="00184590" w:rsidRPr="00CE7555" w:rsidRDefault="00184590" w:rsidP="00D11B24">
      <w:pPr>
        <w:pBdr>
          <w:top w:val="single" w:sz="4" w:space="1" w:color="auto"/>
          <w:left w:val="single" w:sz="4" w:space="0" w:color="auto"/>
          <w:bottom w:val="single" w:sz="4" w:space="1" w:color="auto"/>
          <w:right w:val="single" w:sz="4" w:space="1" w:color="auto"/>
        </w:pBdr>
        <w:shd w:val="clear" w:color="auto" w:fill="B8CCE4"/>
        <w:jc w:val="center"/>
        <w:rPr>
          <w:snapToGrid w:val="0"/>
          <w:sz w:val="25"/>
          <w:szCs w:val="25"/>
        </w:rPr>
      </w:pPr>
      <w:r w:rsidRPr="00CE7555">
        <w:rPr>
          <w:snapToGrid w:val="0"/>
          <w:sz w:val="25"/>
          <w:szCs w:val="25"/>
        </w:rPr>
        <w:t>Informações/Sugestões/Críticas: (61)3043</w:t>
      </w:r>
      <w:r w:rsidR="00352B27" w:rsidRPr="00CE7555">
        <w:rPr>
          <w:snapToGrid w:val="0"/>
          <w:sz w:val="25"/>
          <w:szCs w:val="25"/>
        </w:rPr>
        <w:t>-</w:t>
      </w:r>
      <w:r w:rsidRPr="00CE7555">
        <w:rPr>
          <w:snapToGrid w:val="0"/>
          <w:sz w:val="25"/>
          <w:szCs w:val="25"/>
        </w:rPr>
        <w:t>4</w:t>
      </w:r>
      <w:r w:rsidR="00D72C05" w:rsidRPr="00CE7555">
        <w:rPr>
          <w:snapToGrid w:val="0"/>
          <w:sz w:val="25"/>
          <w:szCs w:val="25"/>
        </w:rPr>
        <w:t>417</w:t>
      </w:r>
    </w:p>
    <w:p w:rsidR="007614F1" w:rsidRPr="00CE7555" w:rsidRDefault="00184590" w:rsidP="00D11B24">
      <w:pPr>
        <w:pBdr>
          <w:top w:val="single" w:sz="4" w:space="1" w:color="auto"/>
          <w:left w:val="single" w:sz="4" w:space="0" w:color="auto"/>
          <w:bottom w:val="single" w:sz="4" w:space="1" w:color="auto"/>
          <w:right w:val="single" w:sz="4" w:space="1" w:color="auto"/>
        </w:pBdr>
        <w:shd w:val="clear" w:color="auto" w:fill="B8CCE4"/>
        <w:jc w:val="center"/>
        <w:rPr>
          <w:snapToGrid w:val="0"/>
          <w:sz w:val="25"/>
          <w:szCs w:val="25"/>
        </w:rPr>
      </w:pPr>
      <w:r w:rsidRPr="00CE7555">
        <w:rPr>
          <w:snapToGrid w:val="0"/>
          <w:sz w:val="25"/>
          <w:szCs w:val="25"/>
        </w:rPr>
        <w:t>cjur@tst.jus.br</w:t>
      </w:r>
    </w:p>
    <w:sectPr w:rsidR="007614F1" w:rsidRPr="00CE7555" w:rsidSect="00D11B24">
      <w:headerReference w:type="default" r:id="rId12"/>
      <w:footerReference w:type="default" r:id="rId13"/>
      <w:headerReference w:type="first" r:id="rId14"/>
      <w:footerReference w:type="first" r:id="rId15"/>
      <w:type w:val="continuous"/>
      <w:pgSz w:w="11907" w:h="16839" w:code="9"/>
      <w:pgMar w:top="1304" w:right="1134" w:bottom="851" w:left="1134" w:header="709" w:footer="709" w:gutter="0"/>
      <w:cols w:space="709"/>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03FC" w:rsidRDefault="003503FC">
      <w:r>
        <w:separator/>
      </w:r>
    </w:p>
  </w:endnote>
  <w:endnote w:type="continuationSeparator" w:id="0">
    <w:p w:rsidR="003503FC" w:rsidRDefault="003503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0AD" w:rsidRDefault="00FE00AD">
    <w:pPr>
      <w:pStyle w:val="Rodap"/>
      <w:framePr w:wrap="auto"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6F59E9">
      <w:rPr>
        <w:rStyle w:val="Nmerodepgina"/>
        <w:noProof/>
      </w:rPr>
      <w:t>2</w:t>
    </w:r>
    <w:r>
      <w:rPr>
        <w:rStyle w:val="Nmerodepgina"/>
      </w:rPr>
      <w:fldChar w:fldCharType="end"/>
    </w:r>
  </w:p>
  <w:p w:rsidR="00FE00AD" w:rsidRDefault="00187A37">
    <w:pPr>
      <w:pStyle w:val="Rodap"/>
      <w:ind w:right="360"/>
    </w:pPr>
    <w:r>
      <w:rPr>
        <w:noProof/>
      </w:rPr>
      <w:pict>
        <v:line id="_x0000_s2050" style="position:absolute;z-index:251658240" from=".9pt,-3.55pt" to="497.7pt,-3.55pt" o:allowincell="f" strokecolor="#969696"/>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0AD" w:rsidRDefault="00187A37">
    <w:pPr>
      <w:pStyle w:val="Rodap"/>
      <w:jc w:val="right"/>
    </w:pPr>
    <w:r>
      <w:rPr>
        <w:noProof/>
      </w:rPr>
      <w:pict>
        <v:line id="_x0000_s2054" style="position:absolute;left:0;text-align:left;flip:y;z-index:251659264" from=".9pt,-3.55pt" to="497.7pt,-3.4pt" o:allowincell="f" strokecolor="#969696"/>
      </w:pict>
    </w:r>
    <w:r w:rsidR="00FE00AD">
      <w:rPr>
        <w:rStyle w:val="Nmerodepgina"/>
      </w:rPr>
      <w:fldChar w:fldCharType="begin"/>
    </w:r>
    <w:r w:rsidR="00FE00AD">
      <w:rPr>
        <w:rStyle w:val="Nmerodepgina"/>
      </w:rPr>
      <w:instrText xml:space="preserve"> PAGE </w:instrText>
    </w:r>
    <w:r w:rsidR="00FE00AD">
      <w:rPr>
        <w:rStyle w:val="Nmerodepgina"/>
      </w:rPr>
      <w:fldChar w:fldCharType="separate"/>
    </w:r>
    <w:r w:rsidR="006F59E9">
      <w:rPr>
        <w:rStyle w:val="Nmerodepgina"/>
        <w:noProof/>
      </w:rPr>
      <w:t>1</w:t>
    </w:r>
    <w:r w:rsidR="00FE00AD">
      <w:rPr>
        <w:rStyle w:val="Nmerodepgin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03FC" w:rsidRDefault="003503FC">
      <w:r>
        <w:separator/>
      </w:r>
    </w:p>
  </w:footnote>
  <w:footnote w:type="continuationSeparator" w:id="0">
    <w:p w:rsidR="003503FC" w:rsidRDefault="003503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0AD" w:rsidRPr="00971E07" w:rsidRDefault="00FE00AD">
    <w:pPr>
      <w:pStyle w:val="Corpodetexto"/>
      <w:jc w:val="right"/>
      <w:rPr>
        <w:shadow/>
        <w:sz w:val="24"/>
        <w:szCs w:val="24"/>
      </w:rPr>
    </w:pPr>
    <w:r w:rsidRPr="00971E07">
      <w:rPr>
        <w:shadow/>
        <w:sz w:val="24"/>
        <w:szCs w:val="24"/>
      </w:rPr>
      <w:t xml:space="preserve">Informativo TST - </w:t>
    </w:r>
    <w:r w:rsidR="00986D77">
      <w:rPr>
        <w:shadow/>
        <w:sz w:val="24"/>
        <w:szCs w:val="24"/>
      </w:rPr>
      <w:t>n</w:t>
    </w:r>
    <w:r w:rsidRPr="00971E07">
      <w:rPr>
        <w:shadow/>
        <w:sz w:val="24"/>
        <w:szCs w:val="24"/>
      </w:rPr>
      <w:t xml:space="preserve">º </w:t>
    </w:r>
    <w:r w:rsidR="00C51600">
      <w:rPr>
        <w:shadow/>
        <w:sz w:val="24"/>
        <w:szCs w:val="24"/>
      </w:rPr>
      <w:t>1</w:t>
    </w:r>
    <w:r w:rsidR="00DC7F71">
      <w:rPr>
        <w:shadow/>
        <w:sz w:val="24"/>
        <w:szCs w:val="24"/>
      </w:rPr>
      <w:t>3</w:t>
    </w:r>
    <w:r w:rsidR="00260B37">
      <w:rPr>
        <w:shadow/>
        <w:sz w:val="24"/>
        <w:szCs w:val="24"/>
      </w:rPr>
      <w:t>7</w:t>
    </w:r>
  </w:p>
  <w:p w:rsidR="00CE7555" w:rsidRPr="005D1DE4" w:rsidRDefault="00187A37" w:rsidP="00CE7555">
    <w:pPr>
      <w:pStyle w:val="Cabealho"/>
      <w:jc w:val="right"/>
    </w:pPr>
    <w:r w:rsidRPr="003C0554">
      <w:rPr>
        <w:noProof/>
      </w:rPr>
      <w:pict>
        <v:line id="_x0000_s2049" style="position:absolute;left:0;text-align:left;flip:x;z-index:251657216" from=".9pt,10.15pt" to="497.7pt,10.15pt" o:allowincell="f" strokecolor="#969696"/>
      </w:pict>
    </w:r>
    <w:r w:rsidR="00DB0223" w:rsidRPr="003C0554">
      <w:rPr>
        <w:iCs/>
      </w:rPr>
      <w:t xml:space="preserve"> </w:t>
    </w:r>
    <w:r w:rsidR="00494DD1">
      <w:rPr>
        <w:i/>
        <w:iCs/>
      </w:rPr>
      <w:t xml:space="preserve">Período: </w:t>
    </w:r>
    <w:r w:rsidR="00260B37">
      <w:rPr>
        <w:i/>
        <w:iCs/>
      </w:rPr>
      <w:t xml:space="preserve">17 a 30 </w:t>
    </w:r>
    <w:r w:rsidR="00C232C2">
      <w:rPr>
        <w:i/>
        <w:iCs/>
      </w:rPr>
      <w:t>de maio</w:t>
    </w:r>
    <w:r w:rsidR="00F907EB">
      <w:rPr>
        <w:i/>
        <w:iCs/>
      </w:rPr>
      <w:t xml:space="preserve"> </w:t>
    </w:r>
    <w:r w:rsidR="000E5C57">
      <w:rPr>
        <w:i/>
        <w:iCs/>
      </w:rPr>
      <w:t>d</w:t>
    </w:r>
    <w:r w:rsidR="00971E5F">
      <w:rPr>
        <w:i/>
        <w:iCs/>
      </w:rPr>
      <w:t>e 2016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0AD" w:rsidRDefault="00075BDB">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65.7pt;margin-top:25pt;width:381.6pt;height:36pt;z-index:251656192" o:allowincell="f" fillcolor="black">
          <v:shadow color="#868686"/>
          <v:textpath style="font-family:&quot;Times New Roman&quot;;v-text-kern:t" trim="t" fitpath="t" string="INFORMATIVO TST"/>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pt;height:77.25pt">
          <v:imagedata r:id="rId1" o:title="TST LOGO"/>
        </v:shape>
      </w:pict>
    </w:r>
  </w:p>
  <w:p w:rsidR="00FE00AD" w:rsidRPr="002168DE" w:rsidRDefault="00A51749" w:rsidP="00075BDB">
    <w:pPr>
      <w:pStyle w:val="Cabealho"/>
      <w:tabs>
        <w:tab w:val="clear" w:pos="4419"/>
        <w:tab w:val="clear" w:pos="8838"/>
        <w:tab w:val="left" w:pos="2793"/>
      </w:tabs>
      <w:jc w:val="right"/>
      <w:rPr>
        <w:b/>
        <w:sz w:val="40"/>
        <w:szCs w:val="40"/>
      </w:rPr>
    </w:pPr>
    <w:r>
      <w:tab/>
    </w:r>
    <w:r w:rsidR="00075BDB">
      <w:tab/>
    </w:r>
    <w:r w:rsidR="00075BDB">
      <w:tab/>
    </w:r>
    <w:r w:rsidR="00075BDB">
      <w:tab/>
    </w:r>
    <w:r w:rsidR="00075BDB">
      <w:tab/>
    </w:r>
    <w:r w:rsidR="00075BDB">
      <w:tab/>
    </w:r>
    <w:r w:rsidR="00FE00AD" w:rsidRPr="002168DE">
      <w:rPr>
        <w:b/>
        <w:sz w:val="40"/>
        <w:szCs w:val="40"/>
      </w:rPr>
      <w:t xml:space="preserve">Nº </w:t>
    </w:r>
    <w:r w:rsidR="00C51600">
      <w:rPr>
        <w:b/>
        <w:sz w:val="40"/>
        <w:szCs w:val="40"/>
      </w:rPr>
      <w:t>1</w:t>
    </w:r>
    <w:r w:rsidR="00F907EB">
      <w:rPr>
        <w:b/>
        <w:sz w:val="40"/>
        <w:szCs w:val="40"/>
      </w:rPr>
      <w:t>3</w:t>
    </w:r>
    <w:r w:rsidR="00260B37">
      <w:rPr>
        <w:b/>
        <w:sz w:val="40"/>
        <w:szCs w:val="40"/>
      </w:rPr>
      <w:t>7</w:t>
    </w:r>
  </w:p>
  <w:p w:rsidR="00FE00AD" w:rsidRPr="005D1DE4" w:rsidRDefault="00FE00AD">
    <w:pPr>
      <w:pStyle w:val="Cabealho"/>
      <w:jc w:val="right"/>
      <w:rPr>
        <w:i/>
        <w:iCs/>
        <w:sz w:val="10"/>
        <w:szCs w:val="10"/>
      </w:rPr>
    </w:pPr>
  </w:p>
  <w:p w:rsidR="00FE00AD" w:rsidRPr="005D1DE4" w:rsidRDefault="002168DE">
    <w:pPr>
      <w:pStyle w:val="Cabealho"/>
      <w:jc w:val="right"/>
    </w:pPr>
    <w:r>
      <w:rPr>
        <w:i/>
        <w:iCs/>
      </w:rPr>
      <w:t>Período:</w:t>
    </w:r>
    <w:r w:rsidR="00FE00AD" w:rsidRPr="005D1DE4">
      <w:rPr>
        <w:i/>
        <w:iCs/>
      </w:rPr>
      <w:t xml:space="preserve"> </w:t>
    </w:r>
    <w:r w:rsidR="00260B37">
      <w:rPr>
        <w:i/>
        <w:iCs/>
      </w:rPr>
      <w:t>17 a 30</w:t>
    </w:r>
    <w:r w:rsidR="00C232C2">
      <w:rPr>
        <w:i/>
        <w:iCs/>
      </w:rPr>
      <w:t xml:space="preserve"> de maio</w:t>
    </w:r>
    <w:r w:rsidR="000E5C57">
      <w:rPr>
        <w:i/>
        <w:iCs/>
      </w:rPr>
      <w:t xml:space="preserve"> </w:t>
    </w:r>
    <w:r w:rsidR="004A094C">
      <w:rPr>
        <w:i/>
        <w:iCs/>
      </w:rPr>
      <w:t>de 201</w:t>
    </w:r>
    <w:r w:rsidR="000E5C57">
      <w:rPr>
        <w:i/>
        <w:iCs/>
      </w:rPr>
      <w:t>6</w:t>
    </w:r>
  </w:p>
  <w:p w:rsidR="00FE00AD" w:rsidRDefault="00FE00AD" w:rsidP="00631F1C">
    <w:pPr>
      <w:pStyle w:val="Cabealho"/>
      <w:pBdr>
        <w:bottom w:val="single" w:sz="4" w:space="1" w:color="auto"/>
      </w:pBdr>
      <w:rPr>
        <w:sz w:val="6"/>
        <w:szCs w:val="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8908C3"/>
    <w:multiLevelType w:val="multilevel"/>
    <w:tmpl w:val="1292BA38"/>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41C61C72"/>
    <w:multiLevelType w:val="multilevel"/>
    <w:tmpl w:val="E452BD52"/>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55986985"/>
    <w:multiLevelType w:val="multilevel"/>
    <w:tmpl w:val="D854AEF8"/>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doNotTrackMoves/>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3074"/>
    <o:shapelayout v:ext="edit">
      <o:idmap v:ext="edit" data="2"/>
    </o:shapelayout>
  </w:hdrShapeDefaults>
  <w:footnotePr>
    <w:footnote w:id="-1"/>
    <w:footnote w:id="0"/>
  </w:footnotePr>
  <w:endnotePr>
    <w:endnote w:id="-1"/>
    <w:endnote w:id="0"/>
  </w:endnotePr>
  <w:compat>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36FE"/>
    <w:rsid w:val="00004C36"/>
    <w:rsid w:val="000228E6"/>
    <w:rsid w:val="000249BA"/>
    <w:rsid w:val="00024CE9"/>
    <w:rsid w:val="00032056"/>
    <w:rsid w:val="000322FB"/>
    <w:rsid w:val="000425FC"/>
    <w:rsid w:val="00050E85"/>
    <w:rsid w:val="0005125E"/>
    <w:rsid w:val="00056752"/>
    <w:rsid w:val="0005765E"/>
    <w:rsid w:val="00057B87"/>
    <w:rsid w:val="0006020E"/>
    <w:rsid w:val="00064486"/>
    <w:rsid w:val="00065048"/>
    <w:rsid w:val="000733B4"/>
    <w:rsid w:val="00073880"/>
    <w:rsid w:val="00075BDB"/>
    <w:rsid w:val="00080F10"/>
    <w:rsid w:val="000858FB"/>
    <w:rsid w:val="0009237D"/>
    <w:rsid w:val="00093AE9"/>
    <w:rsid w:val="00093BA8"/>
    <w:rsid w:val="00095471"/>
    <w:rsid w:val="000A04E6"/>
    <w:rsid w:val="000A4C94"/>
    <w:rsid w:val="000B2973"/>
    <w:rsid w:val="000B4D41"/>
    <w:rsid w:val="000B67DF"/>
    <w:rsid w:val="000B7CDE"/>
    <w:rsid w:val="000C3022"/>
    <w:rsid w:val="000C38FA"/>
    <w:rsid w:val="000C58F4"/>
    <w:rsid w:val="000C5AC6"/>
    <w:rsid w:val="000C672B"/>
    <w:rsid w:val="000E0A91"/>
    <w:rsid w:val="000E1DC1"/>
    <w:rsid w:val="000E5C57"/>
    <w:rsid w:val="000E7CBE"/>
    <w:rsid w:val="0011575C"/>
    <w:rsid w:val="0011692E"/>
    <w:rsid w:val="001257D7"/>
    <w:rsid w:val="00137564"/>
    <w:rsid w:val="00137DC1"/>
    <w:rsid w:val="00141630"/>
    <w:rsid w:val="00142C28"/>
    <w:rsid w:val="0015612D"/>
    <w:rsid w:val="00161CDE"/>
    <w:rsid w:val="00163142"/>
    <w:rsid w:val="001648F5"/>
    <w:rsid w:val="00176D15"/>
    <w:rsid w:val="00183803"/>
    <w:rsid w:val="00184590"/>
    <w:rsid w:val="00187A37"/>
    <w:rsid w:val="00187BEF"/>
    <w:rsid w:val="0019151D"/>
    <w:rsid w:val="00193208"/>
    <w:rsid w:val="00197B15"/>
    <w:rsid w:val="001C04D2"/>
    <w:rsid w:val="001C21FB"/>
    <w:rsid w:val="001C271F"/>
    <w:rsid w:val="001C6C93"/>
    <w:rsid w:val="001D4CF9"/>
    <w:rsid w:val="001D5AB0"/>
    <w:rsid w:val="001D6AC9"/>
    <w:rsid w:val="001D757D"/>
    <w:rsid w:val="001E14A9"/>
    <w:rsid w:val="001E14BB"/>
    <w:rsid w:val="001E4B57"/>
    <w:rsid w:val="001E5BD1"/>
    <w:rsid w:val="001E713B"/>
    <w:rsid w:val="001E79B4"/>
    <w:rsid w:val="001F030F"/>
    <w:rsid w:val="001F45E0"/>
    <w:rsid w:val="00204C97"/>
    <w:rsid w:val="00206810"/>
    <w:rsid w:val="002168DE"/>
    <w:rsid w:val="00224AC2"/>
    <w:rsid w:val="0023559D"/>
    <w:rsid w:val="002402B0"/>
    <w:rsid w:val="002449F9"/>
    <w:rsid w:val="00255732"/>
    <w:rsid w:val="00257B4A"/>
    <w:rsid w:val="00260B37"/>
    <w:rsid w:val="002635ED"/>
    <w:rsid w:val="002662BA"/>
    <w:rsid w:val="00266D49"/>
    <w:rsid w:val="00271C5C"/>
    <w:rsid w:val="00271E67"/>
    <w:rsid w:val="002730B5"/>
    <w:rsid w:val="002766D5"/>
    <w:rsid w:val="00276EA0"/>
    <w:rsid w:val="00280594"/>
    <w:rsid w:val="00285064"/>
    <w:rsid w:val="002A219D"/>
    <w:rsid w:val="002A521A"/>
    <w:rsid w:val="002A546D"/>
    <w:rsid w:val="002B4738"/>
    <w:rsid w:val="002B6377"/>
    <w:rsid w:val="002C2904"/>
    <w:rsid w:val="002E78CB"/>
    <w:rsid w:val="002F28E5"/>
    <w:rsid w:val="003074FC"/>
    <w:rsid w:val="0033397A"/>
    <w:rsid w:val="00340D16"/>
    <w:rsid w:val="00340E8D"/>
    <w:rsid w:val="00342846"/>
    <w:rsid w:val="003503FC"/>
    <w:rsid w:val="00352B27"/>
    <w:rsid w:val="0035374D"/>
    <w:rsid w:val="00363255"/>
    <w:rsid w:val="0036325E"/>
    <w:rsid w:val="003671FE"/>
    <w:rsid w:val="003708FD"/>
    <w:rsid w:val="003745DE"/>
    <w:rsid w:val="0037667D"/>
    <w:rsid w:val="00380212"/>
    <w:rsid w:val="00383A89"/>
    <w:rsid w:val="00384075"/>
    <w:rsid w:val="003908C5"/>
    <w:rsid w:val="00396053"/>
    <w:rsid w:val="003A1F0A"/>
    <w:rsid w:val="003A4086"/>
    <w:rsid w:val="003A5E5B"/>
    <w:rsid w:val="003B045C"/>
    <w:rsid w:val="003B0538"/>
    <w:rsid w:val="003B0A59"/>
    <w:rsid w:val="003B3EB5"/>
    <w:rsid w:val="003B4E23"/>
    <w:rsid w:val="003B767E"/>
    <w:rsid w:val="003C01E8"/>
    <w:rsid w:val="003C0554"/>
    <w:rsid w:val="003C1AB7"/>
    <w:rsid w:val="003C6FE7"/>
    <w:rsid w:val="003D032E"/>
    <w:rsid w:val="003D4205"/>
    <w:rsid w:val="003E1C53"/>
    <w:rsid w:val="003F2078"/>
    <w:rsid w:val="004034A8"/>
    <w:rsid w:val="00416D9A"/>
    <w:rsid w:val="0042772A"/>
    <w:rsid w:val="004323B0"/>
    <w:rsid w:val="00444E88"/>
    <w:rsid w:val="004477EC"/>
    <w:rsid w:val="00450BAD"/>
    <w:rsid w:val="0045657C"/>
    <w:rsid w:val="004655CC"/>
    <w:rsid w:val="00466DB9"/>
    <w:rsid w:val="00470EF8"/>
    <w:rsid w:val="004731B7"/>
    <w:rsid w:val="00486521"/>
    <w:rsid w:val="00486DFC"/>
    <w:rsid w:val="004922D6"/>
    <w:rsid w:val="00494DD1"/>
    <w:rsid w:val="004A094C"/>
    <w:rsid w:val="004A14FC"/>
    <w:rsid w:val="004A5264"/>
    <w:rsid w:val="004A5908"/>
    <w:rsid w:val="004A7C59"/>
    <w:rsid w:val="004B21AD"/>
    <w:rsid w:val="004C011C"/>
    <w:rsid w:val="004C14EA"/>
    <w:rsid w:val="004C2118"/>
    <w:rsid w:val="004C2612"/>
    <w:rsid w:val="004C759F"/>
    <w:rsid w:val="004D6000"/>
    <w:rsid w:val="004D6415"/>
    <w:rsid w:val="004D71E8"/>
    <w:rsid w:val="004E393E"/>
    <w:rsid w:val="004E4507"/>
    <w:rsid w:val="004E4619"/>
    <w:rsid w:val="004F0A7D"/>
    <w:rsid w:val="004F5040"/>
    <w:rsid w:val="00513789"/>
    <w:rsid w:val="0051538E"/>
    <w:rsid w:val="00517E01"/>
    <w:rsid w:val="00521EEC"/>
    <w:rsid w:val="00543B94"/>
    <w:rsid w:val="005460BD"/>
    <w:rsid w:val="005521C8"/>
    <w:rsid w:val="00553197"/>
    <w:rsid w:val="0055409E"/>
    <w:rsid w:val="00556367"/>
    <w:rsid w:val="00556B35"/>
    <w:rsid w:val="00573E13"/>
    <w:rsid w:val="005811A4"/>
    <w:rsid w:val="00584F82"/>
    <w:rsid w:val="00591DFA"/>
    <w:rsid w:val="005A30AA"/>
    <w:rsid w:val="005A5695"/>
    <w:rsid w:val="005B0A1C"/>
    <w:rsid w:val="005B22CE"/>
    <w:rsid w:val="005B2F00"/>
    <w:rsid w:val="005B3792"/>
    <w:rsid w:val="005B57DE"/>
    <w:rsid w:val="005C1886"/>
    <w:rsid w:val="005C761E"/>
    <w:rsid w:val="005D0E5F"/>
    <w:rsid w:val="005D1DE4"/>
    <w:rsid w:val="005E35BD"/>
    <w:rsid w:val="005E3D4D"/>
    <w:rsid w:val="005E7FD1"/>
    <w:rsid w:val="005F0545"/>
    <w:rsid w:val="005F2858"/>
    <w:rsid w:val="006002E3"/>
    <w:rsid w:val="006145AC"/>
    <w:rsid w:val="00615F98"/>
    <w:rsid w:val="006207F5"/>
    <w:rsid w:val="00621F9C"/>
    <w:rsid w:val="00631166"/>
    <w:rsid w:val="00631F1C"/>
    <w:rsid w:val="006366A4"/>
    <w:rsid w:val="00643B60"/>
    <w:rsid w:val="006456B1"/>
    <w:rsid w:val="006564EC"/>
    <w:rsid w:val="0066084C"/>
    <w:rsid w:val="00661B23"/>
    <w:rsid w:val="00672CF9"/>
    <w:rsid w:val="00672E11"/>
    <w:rsid w:val="0068273B"/>
    <w:rsid w:val="00691234"/>
    <w:rsid w:val="00692202"/>
    <w:rsid w:val="006931CC"/>
    <w:rsid w:val="006947F2"/>
    <w:rsid w:val="00697919"/>
    <w:rsid w:val="006B3FCF"/>
    <w:rsid w:val="006B46CA"/>
    <w:rsid w:val="006C0391"/>
    <w:rsid w:val="006C28B3"/>
    <w:rsid w:val="006D1F66"/>
    <w:rsid w:val="006D306E"/>
    <w:rsid w:val="006D4497"/>
    <w:rsid w:val="006E1A9C"/>
    <w:rsid w:val="006F59E9"/>
    <w:rsid w:val="006F6C15"/>
    <w:rsid w:val="00700B1B"/>
    <w:rsid w:val="0070727E"/>
    <w:rsid w:val="00710D3A"/>
    <w:rsid w:val="0071315F"/>
    <w:rsid w:val="00721942"/>
    <w:rsid w:val="00722BE7"/>
    <w:rsid w:val="00732DF2"/>
    <w:rsid w:val="007403B3"/>
    <w:rsid w:val="007614F1"/>
    <w:rsid w:val="007618C5"/>
    <w:rsid w:val="00764066"/>
    <w:rsid w:val="00766B7B"/>
    <w:rsid w:val="0077600F"/>
    <w:rsid w:val="00776118"/>
    <w:rsid w:val="00781C77"/>
    <w:rsid w:val="00796745"/>
    <w:rsid w:val="007B0F83"/>
    <w:rsid w:val="007C0A4F"/>
    <w:rsid w:val="007D29A1"/>
    <w:rsid w:val="007D469A"/>
    <w:rsid w:val="007E0EA7"/>
    <w:rsid w:val="007E3F23"/>
    <w:rsid w:val="007F142E"/>
    <w:rsid w:val="007F66BC"/>
    <w:rsid w:val="007F7B5E"/>
    <w:rsid w:val="00800B97"/>
    <w:rsid w:val="00801246"/>
    <w:rsid w:val="00802B1A"/>
    <w:rsid w:val="00805CD2"/>
    <w:rsid w:val="0080615C"/>
    <w:rsid w:val="0081027F"/>
    <w:rsid w:val="0081742D"/>
    <w:rsid w:val="00817AB1"/>
    <w:rsid w:val="00821F4D"/>
    <w:rsid w:val="00823906"/>
    <w:rsid w:val="008409D3"/>
    <w:rsid w:val="00844374"/>
    <w:rsid w:val="00845559"/>
    <w:rsid w:val="00854DB8"/>
    <w:rsid w:val="00854EF2"/>
    <w:rsid w:val="00855D99"/>
    <w:rsid w:val="008622CF"/>
    <w:rsid w:val="008627C6"/>
    <w:rsid w:val="00863B86"/>
    <w:rsid w:val="00871F69"/>
    <w:rsid w:val="008842D0"/>
    <w:rsid w:val="00884AC4"/>
    <w:rsid w:val="0088579D"/>
    <w:rsid w:val="008A4AFF"/>
    <w:rsid w:val="008A5FA7"/>
    <w:rsid w:val="008A68E7"/>
    <w:rsid w:val="008A7953"/>
    <w:rsid w:val="008B1828"/>
    <w:rsid w:val="008B3081"/>
    <w:rsid w:val="008B32D4"/>
    <w:rsid w:val="008C7AD0"/>
    <w:rsid w:val="008D0020"/>
    <w:rsid w:val="008D3C38"/>
    <w:rsid w:val="008D3C4B"/>
    <w:rsid w:val="008D6A05"/>
    <w:rsid w:val="008E2AE5"/>
    <w:rsid w:val="008E3F89"/>
    <w:rsid w:val="008F26CB"/>
    <w:rsid w:val="008F6509"/>
    <w:rsid w:val="008F79D9"/>
    <w:rsid w:val="009027C8"/>
    <w:rsid w:val="00922D1B"/>
    <w:rsid w:val="0093467A"/>
    <w:rsid w:val="009353F1"/>
    <w:rsid w:val="0094155C"/>
    <w:rsid w:val="00951531"/>
    <w:rsid w:val="00960A3B"/>
    <w:rsid w:val="0096375C"/>
    <w:rsid w:val="00967DE0"/>
    <w:rsid w:val="00971E07"/>
    <w:rsid w:val="00971E5F"/>
    <w:rsid w:val="00980944"/>
    <w:rsid w:val="00986D77"/>
    <w:rsid w:val="00993A6E"/>
    <w:rsid w:val="009943EC"/>
    <w:rsid w:val="009A32D5"/>
    <w:rsid w:val="009B6012"/>
    <w:rsid w:val="009C102D"/>
    <w:rsid w:val="009C2A4F"/>
    <w:rsid w:val="009D4C59"/>
    <w:rsid w:val="009D7F91"/>
    <w:rsid w:val="009E20EF"/>
    <w:rsid w:val="009E26EE"/>
    <w:rsid w:val="009F1C7B"/>
    <w:rsid w:val="009F21A2"/>
    <w:rsid w:val="00A00D70"/>
    <w:rsid w:val="00A00DEE"/>
    <w:rsid w:val="00A32FBF"/>
    <w:rsid w:val="00A407EA"/>
    <w:rsid w:val="00A51749"/>
    <w:rsid w:val="00A521B6"/>
    <w:rsid w:val="00A56962"/>
    <w:rsid w:val="00A6412C"/>
    <w:rsid w:val="00A75419"/>
    <w:rsid w:val="00A76661"/>
    <w:rsid w:val="00A76D2A"/>
    <w:rsid w:val="00A82081"/>
    <w:rsid w:val="00A8557E"/>
    <w:rsid w:val="00A903E4"/>
    <w:rsid w:val="00A91181"/>
    <w:rsid w:val="00A935AC"/>
    <w:rsid w:val="00AA3DE0"/>
    <w:rsid w:val="00AB299E"/>
    <w:rsid w:val="00AB507C"/>
    <w:rsid w:val="00AC096E"/>
    <w:rsid w:val="00AD6E76"/>
    <w:rsid w:val="00AE3EAA"/>
    <w:rsid w:val="00AE5EDF"/>
    <w:rsid w:val="00AE758A"/>
    <w:rsid w:val="00B06261"/>
    <w:rsid w:val="00B12273"/>
    <w:rsid w:val="00B14F7F"/>
    <w:rsid w:val="00B16EB9"/>
    <w:rsid w:val="00B22F24"/>
    <w:rsid w:val="00B22F53"/>
    <w:rsid w:val="00B24DBE"/>
    <w:rsid w:val="00B34EB2"/>
    <w:rsid w:val="00B4728A"/>
    <w:rsid w:val="00B517C3"/>
    <w:rsid w:val="00B518B2"/>
    <w:rsid w:val="00B526EA"/>
    <w:rsid w:val="00B536FE"/>
    <w:rsid w:val="00B60670"/>
    <w:rsid w:val="00B73FFA"/>
    <w:rsid w:val="00B74A6E"/>
    <w:rsid w:val="00B82CC4"/>
    <w:rsid w:val="00B838C3"/>
    <w:rsid w:val="00B874F1"/>
    <w:rsid w:val="00BC1DE7"/>
    <w:rsid w:val="00BC209E"/>
    <w:rsid w:val="00BC2C67"/>
    <w:rsid w:val="00BC54BC"/>
    <w:rsid w:val="00BC5AEE"/>
    <w:rsid w:val="00BD2A95"/>
    <w:rsid w:val="00BD2CA9"/>
    <w:rsid w:val="00BD6029"/>
    <w:rsid w:val="00BE0541"/>
    <w:rsid w:val="00BE1ADB"/>
    <w:rsid w:val="00BE3152"/>
    <w:rsid w:val="00BF0693"/>
    <w:rsid w:val="00C070DE"/>
    <w:rsid w:val="00C232C2"/>
    <w:rsid w:val="00C26DFB"/>
    <w:rsid w:val="00C273FA"/>
    <w:rsid w:val="00C30D06"/>
    <w:rsid w:val="00C42067"/>
    <w:rsid w:val="00C432D0"/>
    <w:rsid w:val="00C4398E"/>
    <w:rsid w:val="00C44218"/>
    <w:rsid w:val="00C51600"/>
    <w:rsid w:val="00C54185"/>
    <w:rsid w:val="00C57E92"/>
    <w:rsid w:val="00C60B4A"/>
    <w:rsid w:val="00C65BDB"/>
    <w:rsid w:val="00C66C95"/>
    <w:rsid w:val="00C6738C"/>
    <w:rsid w:val="00C71A3B"/>
    <w:rsid w:val="00C76CFA"/>
    <w:rsid w:val="00C819C8"/>
    <w:rsid w:val="00C8747B"/>
    <w:rsid w:val="00C87D5B"/>
    <w:rsid w:val="00C94FF6"/>
    <w:rsid w:val="00C963F8"/>
    <w:rsid w:val="00C96BB1"/>
    <w:rsid w:val="00CA2F80"/>
    <w:rsid w:val="00CA3ECF"/>
    <w:rsid w:val="00CB0C2A"/>
    <w:rsid w:val="00CB3B98"/>
    <w:rsid w:val="00CC4B2B"/>
    <w:rsid w:val="00CC579C"/>
    <w:rsid w:val="00CC5F5F"/>
    <w:rsid w:val="00CC6BEC"/>
    <w:rsid w:val="00CC743B"/>
    <w:rsid w:val="00CD3460"/>
    <w:rsid w:val="00CD44C9"/>
    <w:rsid w:val="00CD4B61"/>
    <w:rsid w:val="00CD5043"/>
    <w:rsid w:val="00CE066A"/>
    <w:rsid w:val="00CE2928"/>
    <w:rsid w:val="00CE314A"/>
    <w:rsid w:val="00CE5865"/>
    <w:rsid w:val="00CE7555"/>
    <w:rsid w:val="00CF3D9D"/>
    <w:rsid w:val="00CF6B77"/>
    <w:rsid w:val="00D00018"/>
    <w:rsid w:val="00D01C50"/>
    <w:rsid w:val="00D11B24"/>
    <w:rsid w:val="00D11C18"/>
    <w:rsid w:val="00D133C8"/>
    <w:rsid w:val="00D14DB8"/>
    <w:rsid w:val="00D17339"/>
    <w:rsid w:val="00D244D5"/>
    <w:rsid w:val="00D2776A"/>
    <w:rsid w:val="00D4021B"/>
    <w:rsid w:val="00D413DB"/>
    <w:rsid w:val="00D420E2"/>
    <w:rsid w:val="00D4459D"/>
    <w:rsid w:val="00D573F9"/>
    <w:rsid w:val="00D6058B"/>
    <w:rsid w:val="00D608E5"/>
    <w:rsid w:val="00D62D9E"/>
    <w:rsid w:val="00D63EC5"/>
    <w:rsid w:val="00D64BC3"/>
    <w:rsid w:val="00D72C05"/>
    <w:rsid w:val="00D73575"/>
    <w:rsid w:val="00D735BF"/>
    <w:rsid w:val="00D77672"/>
    <w:rsid w:val="00D80222"/>
    <w:rsid w:val="00D847CF"/>
    <w:rsid w:val="00D87489"/>
    <w:rsid w:val="00DA0A99"/>
    <w:rsid w:val="00DA0A9D"/>
    <w:rsid w:val="00DA54D4"/>
    <w:rsid w:val="00DA7603"/>
    <w:rsid w:val="00DA7E39"/>
    <w:rsid w:val="00DA7EDE"/>
    <w:rsid w:val="00DB0223"/>
    <w:rsid w:val="00DB047C"/>
    <w:rsid w:val="00DC0AB5"/>
    <w:rsid w:val="00DC3451"/>
    <w:rsid w:val="00DC50EB"/>
    <w:rsid w:val="00DC7F71"/>
    <w:rsid w:val="00DD19F4"/>
    <w:rsid w:val="00DD3FA0"/>
    <w:rsid w:val="00DE5B2D"/>
    <w:rsid w:val="00DE5CE9"/>
    <w:rsid w:val="00DF45BB"/>
    <w:rsid w:val="00E006DC"/>
    <w:rsid w:val="00E03064"/>
    <w:rsid w:val="00E04BD5"/>
    <w:rsid w:val="00E070D2"/>
    <w:rsid w:val="00E100F5"/>
    <w:rsid w:val="00E1139A"/>
    <w:rsid w:val="00E1539C"/>
    <w:rsid w:val="00E162B6"/>
    <w:rsid w:val="00E16E01"/>
    <w:rsid w:val="00E20FC8"/>
    <w:rsid w:val="00E24A50"/>
    <w:rsid w:val="00E31469"/>
    <w:rsid w:val="00E3296A"/>
    <w:rsid w:val="00E35639"/>
    <w:rsid w:val="00E4188A"/>
    <w:rsid w:val="00E432CC"/>
    <w:rsid w:val="00E47FF2"/>
    <w:rsid w:val="00E50711"/>
    <w:rsid w:val="00E52522"/>
    <w:rsid w:val="00E531C9"/>
    <w:rsid w:val="00E60AD3"/>
    <w:rsid w:val="00E60EDA"/>
    <w:rsid w:val="00E62BBC"/>
    <w:rsid w:val="00E9503C"/>
    <w:rsid w:val="00E956D9"/>
    <w:rsid w:val="00EA1958"/>
    <w:rsid w:val="00EA29F5"/>
    <w:rsid w:val="00EA482D"/>
    <w:rsid w:val="00EB5FE6"/>
    <w:rsid w:val="00EB61A5"/>
    <w:rsid w:val="00EB6C1B"/>
    <w:rsid w:val="00EB7A09"/>
    <w:rsid w:val="00EC0EDC"/>
    <w:rsid w:val="00EC5AF4"/>
    <w:rsid w:val="00EC7E0B"/>
    <w:rsid w:val="00ED661C"/>
    <w:rsid w:val="00EE41B5"/>
    <w:rsid w:val="00EE66C9"/>
    <w:rsid w:val="00EF11A9"/>
    <w:rsid w:val="00EF38E1"/>
    <w:rsid w:val="00EF749A"/>
    <w:rsid w:val="00EF771E"/>
    <w:rsid w:val="00F02565"/>
    <w:rsid w:val="00F026EC"/>
    <w:rsid w:val="00F05542"/>
    <w:rsid w:val="00F06855"/>
    <w:rsid w:val="00F17A2C"/>
    <w:rsid w:val="00F21A70"/>
    <w:rsid w:val="00F26708"/>
    <w:rsid w:val="00F30FF2"/>
    <w:rsid w:val="00F37F29"/>
    <w:rsid w:val="00F45608"/>
    <w:rsid w:val="00F511EE"/>
    <w:rsid w:val="00F55574"/>
    <w:rsid w:val="00F558E7"/>
    <w:rsid w:val="00F62016"/>
    <w:rsid w:val="00F63F44"/>
    <w:rsid w:val="00F6746D"/>
    <w:rsid w:val="00F753D1"/>
    <w:rsid w:val="00F7766D"/>
    <w:rsid w:val="00F811CD"/>
    <w:rsid w:val="00F82D8F"/>
    <w:rsid w:val="00F83F62"/>
    <w:rsid w:val="00F907EB"/>
    <w:rsid w:val="00F9711D"/>
    <w:rsid w:val="00FA011F"/>
    <w:rsid w:val="00FA7544"/>
    <w:rsid w:val="00FA75E0"/>
    <w:rsid w:val="00FA7771"/>
    <w:rsid w:val="00FB0DC9"/>
    <w:rsid w:val="00FB20B1"/>
    <w:rsid w:val="00FB3AB4"/>
    <w:rsid w:val="00FB6188"/>
    <w:rsid w:val="00FC35EC"/>
    <w:rsid w:val="00FC56A4"/>
    <w:rsid w:val="00FD029A"/>
    <w:rsid w:val="00FD3D06"/>
    <w:rsid w:val="00FD5662"/>
    <w:rsid w:val="00FD72B6"/>
    <w:rsid w:val="00FE00AD"/>
    <w:rsid w:val="00FE206E"/>
    <w:rsid w:val="00FE499F"/>
    <w:rsid w:val="00FF6DE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Date" w:unhideWhenUsed="0"/>
    <w:lsdException w:name="Body Text 2" w:unhideWhenUsed="0"/>
    <w:lsdException w:name="Body Text 3" w:unhideWhenUsed="0"/>
    <w:lsdException w:name="Body Text Indent 2" w:unhideWhenUsed="0"/>
    <w:lsdException w:name="Hyperlink" w:unhideWhenUsed="0"/>
    <w:lsdException w:name="Strong" w:semiHidden="0" w:unhideWhenUsed="0" w:qFormat="1"/>
    <w:lsdException w:name="Emphasis" w:semiHidden="0" w:uiPriority="20" w:unhideWhenUsed="0" w:qFormat="1"/>
    <w:lsdException w:name="Normal (Web)" w:unhideWhenUsed="0"/>
    <w:lsdException w:name="HTML Preformatted"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rFonts w:ascii="Times New Roman" w:hAnsi="Times New Roman"/>
    </w:rPr>
  </w:style>
  <w:style w:type="paragraph" w:styleId="Ttulo1">
    <w:name w:val="heading 1"/>
    <w:basedOn w:val="Normal"/>
    <w:next w:val="Normal"/>
    <w:link w:val="Ttulo1Char"/>
    <w:uiPriority w:val="99"/>
    <w:qFormat/>
    <w:pPr>
      <w:keepNext/>
      <w:jc w:val="both"/>
      <w:outlineLvl w:val="0"/>
    </w:pPr>
    <w:rPr>
      <w:b/>
      <w:bCs/>
      <w:color w:val="0000FF"/>
    </w:rPr>
  </w:style>
  <w:style w:type="paragraph" w:styleId="Ttulo5">
    <w:name w:val="heading 5"/>
    <w:basedOn w:val="Normal"/>
    <w:next w:val="Normal"/>
    <w:link w:val="Ttulo5Char"/>
    <w:uiPriority w:val="99"/>
    <w:qFormat/>
    <w:pPr>
      <w:keepNext/>
      <w:jc w:val="both"/>
      <w:outlineLvl w:val="4"/>
    </w:pPr>
    <w:rPr>
      <w:u w:val="single"/>
    </w:rPr>
  </w:style>
  <w:style w:type="paragraph" w:styleId="Ttulo6">
    <w:name w:val="heading 6"/>
    <w:basedOn w:val="Normal"/>
    <w:next w:val="Normal"/>
    <w:link w:val="Ttulo6Char"/>
    <w:uiPriority w:val="99"/>
    <w:qFormat/>
    <w:pPr>
      <w:keepNext/>
      <w:jc w:val="center"/>
      <w:outlineLvl w:val="5"/>
    </w:pPr>
    <w:rPr>
      <w:sz w:val="28"/>
      <w:szCs w:val="28"/>
    </w:rPr>
  </w:style>
  <w:style w:type="character" w:default="1" w:styleId="Fontepargpadro">
    <w:name w:val="Default Paragraph Font"/>
    <w:uiPriority w:val="99"/>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Pr>
      <w:rFonts w:ascii="Cambria" w:hAnsi="Cambria" w:cs="Cambria"/>
      <w:b/>
      <w:bCs/>
      <w:kern w:val="32"/>
      <w:sz w:val="32"/>
      <w:szCs w:val="32"/>
    </w:rPr>
  </w:style>
  <w:style w:type="character" w:customStyle="1" w:styleId="Ttulo5Char">
    <w:name w:val="Título 5 Char"/>
    <w:link w:val="Ttulo5"/>
    <w:uiPriority w:val="99"/>
    <w:locked/>
    <w:rPr>
      <w:rFonts w:ascii="Calibri" w:hAnsi="Calibri" w:cs="Calibri"/>
      <w:b/>
      <w:bCs/>
      <w:i/>
      <w:iCs/>
      <w:sz w:val="26"/>
      <w:szCs w:val="26"/>
    </w:rPr>
  </w:style>
  <w:style w:type="character" w:customStyle="1" w:styleId="Ttulo6Char">
    <w:name w:val="Título 6 Char"/>
    <w:link w:val="Ttulo6"/>
    <w:uiPriority w:val="99"/>
    <w:locked/>
    <w:rPr>
      <w:rFonts w:ascii="Calibri" w:hAnsi="Calibri" w:cs="Calibri"/>
      <w:b/>
      <w:bCs/>
      <w:sz w:val="22"/>
      <w:szCs w:val="22"/>
    </w:rPr>
  </w:style>
  <w:style w:type="paragraph" w:styleId="Cabealho">
    <w:name w:val="header"/>
    <w:basedOn w:val="Normal"/>
    <w:link w:val="CabealhoChar"/>
    <w:uiPriority w:val="99"/>
    <w:pPr>
      <w:tabs>
        <w:tab w:val="center" w:pos="4419"/>
        <w:tab w:val="right" w:pos="8838"/>
      </w:tabs>
    </w:pPr>
  </w:style>
  <w:style w:type="character" w:customStyle="1" w:styleId="CabealhoChar">
    <w:name w:val="Cabeçalho Char"/>
    <w:link w:val="Cabealho"/>
    <w:uiPriority w:val="99"/>
    <w:locked/>
    <w:rPr>
      <w:rFonts w:cs="Times New Roman"/>
    </w:rPr>
  </w:style>
  <w:style w:type="paragraph" w:styleId="Rodap">
    <w:name w:val="footer"/>
    <w:basedOn w:val="Normal"/>
    <w:link w:val="RodapChar"/>
    <w:uiPriority w:val="99"/>
    <w:pPr>
      <w:tabs>
        <w:tab w:val="center" w:pos="4419"/>
        <w:tab w:val="right" w:pos="8838"/>
      </w:tabs>
    </w:pPr>
  </w:style>
  <w:style w:type="character" w:customStyle="1" w:styleId="RodapChar">
    <w:name w:val="Rodapé Char"/>
    <w:link w:val="Rodap"/>
    <w:uiPriority w:val="99"/>
    <w:locked/>
    <w:rPr>
      <w:rFonts w:cs="Times New Roman"/>
    </w:rPr>
  </w:style>
  <w:style w:type="paragraph" w:styleId="Corpodetexto">
    <w:name w:val="Body Text"/>
    <w:basedOn w:val="Normal"/>
    <w:link w:val="CorpodetextoChar"/>
    <w:uiPriority w:val="99"/>
    <w:pPr>
      <w:jc w:val="center"/>
    </w:pPr>
    <w:rPr>
      <w:b/>
      <w:bCs/>
      <w:sz w:val="26"/>
      <w:szCs w:val="26"/>
    </w:rPr>
  </w:style>
  <w:style w:type="character" w:customStyle="1" w:styleId="CorpodetextoChar">
    <w:name w:val="Corpo de texto Char"/>
    <w:link w:val="Corpodetexto"/>
    <w:uiPriority w:val="99"/>
    <w:locked/>
    <w:rPr>
      <w:rFonts w:cs="Times New Roman"/>
    </w:rPr>
  </w:style>
  <w:style w:type="paragraph" w:customStyle="1" w:styleId="coletanea">
    <w:name w:val="coletanea"/>
    <w:basedOn w:val="Normal"/>
    <w:pPr>
      <w:jc w:val="both"/>
    </w:pPr>
  </w:style>
  <w:style w:type="paragraph" w:customStyle="1" w:styleId="Ementa">
    <w:name w:val="Ementa"/>
    <w:basedOn w:val="Normal"/>
    <w:uiPriority w:val="99"/>
    <w:pPr>
      <w:ind w:left="4536"/>
      <w:jc w:val="both"/>
    </w:pPr>
    <w:rPr>
      <w:rFonts w:ascii="Courier New" w:hAnsi="Courier New" w:cs="Courier New"/>
      <w:color w:val="808000"/>
      <w:sz w:val="24"/>
      <w:szCs w:val="24"/>
      <w:lang w:val="en-US"/>
    </w:rPr>
  </w:style>
  <w:style w:type="paragraph" w:styleId="Corpodetexto3">
    <w:name w:val="Body Text 3"/>
    <w:basedOn w:val="Normal"/>
    <w:link w:val="Corpodetexto3Char"/>
    <w:uiPriority w:val="99"/>
    <w:pPr>
      <w:jc w:val="both"/>
    </w:pPr>
    <w:rPr>
      <w:b/>
      <w:bCs/>
      <w:i/>
      <w:iCs/>
      <w:sz w:val="24"/>
      <w:szCs w:val="24"/>
    </w:rPr>
  </w:style>
  <w:style w:type="character" w:customStyle="1" w:styleId="Corpodetexto3Char">
    <w:name w:val="Corpo de texto 3 Char"/>
    <w:link w:val="Corpodetexto3"/>
    <w:uiPriority w:val="99"/>
    <w:locked/>
    <w:rPr>
      <w:rFonts w:cs="Times New Roman"/>
      <w:sz w:val="16"/>
      <w:szCs w:val="16"/>
    </w:rPr>
  </w:style>
  <w:style w:type="character" w:styleId="Nmerodepgina">
    <w:name w:val="page number"/>
    <w:uiPriority w:val="99"/>
    <w:rPr>
      <w:rFonts w:cs="Times New Roman"/>
    </w:rPr>
  </w:style>
  <w:style w:type="character" w:styleId="Hyperlink">
    <w:name w:val="Hyperlink"/>
    <w:uiPriority w:val="99"/>
    <w:rPr>
      <w:rFonts w:cs="Times New Roman"/>
      <w:color w:val="0000FF"/>
      <w:u w:val="single"/>
    </w:rPr>
  </w:style>
  <w:style w:type="paragraph" w:customStyle="1" w:styleId="Identificao">
    <w:name w:val="Identificação"/>
    <w:basedOn w:val="Normal"/>
    <w:uiPriority w:val="99"/>
    <w:pPr>
      <w:jc w:val="both"/>
    </w:pPr>
    <w:rPr>
      <w:rFonts w:ascii="Courier New" w:hAnsi="Courier New" w:cs="Courier New"/>
      <w:color w:val="000000"/>
      <w:sz w:val="24"/>
      <w:szCs w:val="24"/>
      <w:lang w:val="en-US"/>
    </w:rPr>
  </w:style>
  <w:style w:type="paragraph" w:customStyle="1" w:styleId="Corpo">
    <w:name w:val="Corpo"/>
    <w:link w:val="CorpoChar"/>
    <w:uiPriority w:val="99"/>
    <w:qFormat/>
    <w:pPr>
      <w:autoSpaceDE w:val="0"/>
      <w:autoSpaceDN w:val="0"/>
      <w:spacing w:line="360" w:lineRule="atLeast"/>
      <w:ind w:firstLine="2551"/>
      <w:jc w:val="both"/>
    </w:pPr>
    <w:rPr>
      <w:rFonts w:ascii="Courier New" w:hAnsi="Courier New" w:cs="Courier New"/>
      <w:color w:val="000000"/>
      <w:sz w:val="24"/>
      <w:szCs w:val="24"/>
      <w:lang w:val="en-US"/>
    </w:rPr>
  </w:style>
  <w:style w:type="character" w:customStyle="1" w:styleId="Hiperlink">
    <w:name w:val="Hiperlink"/>
    <w:uiPriority w:val="99"/>
    <w:rPr>
      <w:color w:val="0000FF"/>
      <w:u w:val="single"/>
    </w:rPr>
  </w:style>
  <w:style w:type="paragraph" w:styleId="Corpodetexto2">
    <w:name w:val="Body Text 2"/>
    <w:basedOn w:val="Normal"/>
    <w:link w:val="Corpodetexto2Char"/>
    <w:uiPriority w:val="99"/>
    <w:pPr>
      <w:jc w:val="both"/>
    </w:pPr>
    <w:rPr>
      <w:sz w:val="22"/>
      <w:szCs w:val="22"/>
    </w:rPr>
  </w:style>
  <w:style w:type="character" w:customStyle="1" w:styleId="Corpodetexto2Char">
    <w:name w:val="Corpo de texto 2 Char"/>
    <w:link w:val="Corpodetexto2"/>
    <w:uiPriority w:val="99"/>
    <w:locked/>
    <w:rPr>
      <w:rFonts w:cs="Times New Roman"/>
      <w:sz w:val="22"/>
      <w:szCs w:val="22"/>
    </w:rPr>
  </w:style>
  <w:style w:type="paragraph" w:customStyle="1" w:styleId="Voto">
    <w:name w:val="Voto"/>
    <w:basedOn w:val="Corpo"/>
    <w:next w:val="Corpo"/>
    <w:uiPriority w:val="99"/>
    <w:rPr>
      <w:color w:val="0000FF"/>
    </w:rPr>
  </w:style>
  <w:style w:type="paragraph" w:customStyle="1" w:styleId="Transcrio">
    <w:name w:val="Transcrição"/>
    <w:basedOn w:val="Corpo"/>
    <w:link w:val="TranscrioChar"/>
    <w:uiPriority w:val="99"/>
    <w:pPr>
      <w:ind w:left="2551" w:firstLine="567"/>
    </w:pPr>
    <w:rPr>
      <w:rFonts w:ascii="Times New Roman" w:hAnsi="Times New Roman" w:cs="Times New Roman"/>
    </w:rPr>
  </w:style>
  <w:style w:type="paragraph" w:customStyle="1" w:styleId="Transcrio2">
    <w:name w:val="Transcrição 2"/>
    <w:basedOn w:val="Corpo"/>
    <w:uiPriority w:val="99"/>
    <w:pPr>
      <w:spacing w:line="240" w:lineRule="auto"/>
      <w:ind w:left="3686" w:firstLine="567"/>
    </w:pPr>
    <w:rPr>
      <w:rFonts w:ascii="Times New Roman" w:hAnsi="Times New Roman" w:cs="Times New Roman"/>
    </w:rPr>
  </w:style>
  <w:style w:type="paragraph" w:styleId="Recuodecorpodetexto">
    <w:name w:val="Body Text Indent"/>
    <w:basedOn w:val="Normal"/>
    <w:link w:val="RecuodecorpodetextoChar"/>
    <w:uiPriority w:val="99"/>
    <w:pPr>
      <w:spacing w:line="360" w:lineRule="auto"/>
      <w:ind w:firstLine="2552"/>
      <w:jc w:val="both"/>
    </w:pPr>
    <w:rPr>
      <w:rFonts w:ascii="Courier New" w:hAnsi="Courier New" w:cs="Courier New"/>
      <w:sz w:val="24"/>
      <w:szCs w:val="24"/>
    </w:rPr>
  </w:style>
  <w:style w:type="character" w:customStyle="1" w:styleId="RecuodecorpodetextoChar">
    <w:name w:val="Recuo de corpo de texto Char"/>
    <w:link w:val="Recuodecorpodetexto"/>
    <w:uiPriority w:val="99"/>
    <w:locked/>
    <w:rPr>
      <w:rFonts w:cs="Times New Roman"/>
    </w:rPr>
  </w:style>
  <w:style w:type="paragraph" w:customStyle="1" w:styleId="CORPO0">
    <w:name w:val="CORPO"/>
    <w:uiPriority w:val="99"/>
    <w:pPr>
      <w:autoSpaceDE w:val="0"/>
      <w:autoSpaceDN w:val="0"/>
      <w:spacing w:line="360" w:lineRule="atLeast"/>
      <w:ind w:firstLine="2551"/>
      <w:jc w:val="both"/>
    </w:pPr>
    <w:rPr>
      <w:rFonts w:ascii="Courier New" w:hAnsi="Courier New" w:cs="Courier New"/>
      <w:color w:val="000000"/>
      <w:sz w:val="24"/>
      <w:szCs w:val="24"/>
    </w:rPr>
  </w:style>
  <w:style w:type="character" w:styleId="Forte">
    <w:name w:val="Strong"/>
    <w:uiPriority w:val="99"/>
    <w:qFormat/>
    <w:rPr>
      <w:rFonts w:cs="Times New Roman"/>
      <w:b/>
      <w:bCs/>
    </w:rPr>
  </w:style>
  <w:style w:type="paragraph" w:styleId="Recuodecorpodetexto2">
    <w:name w:val="Body Text Indent 2"/>
    <w:basedOn w:val="Normal"/>
    <w:link w:val="Recuodecorpodetexto2Char"/>
    <w:uiPriority w:val="99"/>
    <w:pPr>
      <w:ind w:left="214" w:hanging="142"/>
    </w:pPr>
  </w:style>
  <w:style w:type="character" w:customStyle="1" w:styleId="Recuodecorpodetexto2Char">
    <w:name w:val="Recuo de corpo de texto 2 Char"/>
    <w:link w:val="Recuodecorpodetexto2"/>
    <w:uiPriority w:val="99"/>
    <w:locked/>
    <w:rPr>
      <w:rFonts w:cs="Times New Roman"/>
    </w:rPr>
  </w:style>
  <w:style w:type="paragraph" w:customStyle="1" w:styleId="Funo">
    <w:name w:val="Função"/>
    <w:basedOn w:val="Corpo"/>
    <w:uiPriority w:val="99"/>
    <w:pPr>
      <w:spacing w:line="360" w:lineRule="auto"/>
      <w:ind w:left="1871" w:right="1871" w:firstLine="0"/>
      <w:jc w:val="center"/>
    </w:pPr>
    <w:rPr>
      <w:b/>
      <w:bCs/>
      <w:sz w:val="20"/>
      <w:szCs w:val="20"/>
    </w:rPr>
  </w:style>
  <w:style w:type="paragraph" w:customStyle="1" w:styleId="IstoPosto">
    <w:name w:val="Isto Posto"/>
    <w:basedOn w:val="Corpo"/>
    <w:next w:val="Corpo"/>
    <w:uiPriority w:val="99"/>
    <w:rPr>
      <w:color w:val="800080"/>
    </w:rPr>
  </w:style>
  <w:style w:type="paragraph" w:customStyle="1" w:styleId="body8sem">
    <w:name w:val="body8sem"/>
    <w:uiPriority w:val="99"/>
    <w:pPr>
      <w:autoSpaceDE w:val="0"/>
      <w:autoSpaceDN w:val="0"/>
      <w:spacing w:line="180" w:lineRule="atLeast"/>
      <w:jc w:val="both"/>
    </w:pPr>
    <w:rPr>
      <w:rFonts w:ascii="Times New Roman" w:hAnsi="Times New Roman"/>
      <w:color w:val="000000"/>
      <w:sz w:val="16"/>
      <w:szCs w:val="16"/>
    </w:rPr>
  </w:style>
  <w:style w:type="paragraph" w:customStyle="1" w:styleId="Relatrio">
    <w:name w:val="Relatório"/>
    <w:basedOn w:val="Corpo"/>
    <w:next w:val="Corpo"/>
    <w:uiPriority w:val="99"/>
    <w:rPr>
      <w:color w:val="008000"/>
    </w:rPr>
  </w:style>
  <w:style w:type="paragraph" w:styleId="Data">
    <w:name w:val="Date"/>
    <w:basedOn w:val="Corpo"/>
    <w:next w:val="Corpo"/>
    <w:link w:val="DataChar"/>
    <w:uiPriority w:val="99"/>
    <w:pPr>
      <w:ind w:firstLine="2552"/>
    </w:pPr>
    <w:rPr>
      <w:color w:val="FF00FF"/>
    </w:rPr>
  </w:style>
  <w:style w:type="character" w:customStyle="1" w:styleId="DataChar">
    <w:name w:val="Data Char"/>
    <w:link w:val="Data"/>
    <w:uiPriority w:val="99"/>
    <w:locked/>
    <w:rPr>
      <w:rFonts w:cs="Times New Roman"/>
    </w:rPr>
  </w:style>
  <w:style w:type="paragraph" w:customStyle="1" w:styleId="TemaPN">
    <w:name w:val="TemaPN"/>
    <w:next w:val="Normal"/>
    <w:autoRedefine/>
    <w:uiPriority w:val="99"/>
    <w:pPr>
      <w:keepNext/>
      <w:keepLines/>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7088"/>
      </w:tabs>
      <w:autoSpaceDE w:val="0"/>
      <w:autoSpaceDN w:val="0"/>
      <w:spacing w:before="260"/>
      <w:ind w:left="737" w:hanging="907"/>
      <w:jc w:val="both"/>
    </w:pPr>
    <w:rPr>
      <w:rFonts w:ascii="Times New Roman" w:hAnsi="Times New Roman"/>
      <w:b/>
      <w:bCs/>
      <w:color w:val="000000"/>
      <w:sz w:val="28"/>
      <w:szCs w:val="28"/>
    </w:rPr>
  </w:style>
  <w:style w:type="paragraph" w:styleId="Textodebalo">
    <w:name w:val="Balloon Text"/>
    <w:basedOn w:val="Normal"/>
    <w:link w:val="TextodebaloChar"/>
    <w:uiPriority w:val="99"/>
    <w:rPr>
      <w:rFonts w:ascii="Tahoma" w:hAnsi="Tahoma" w:cs="Tahoma"/>
      <w:sz w:val="16"/>
      <w:szCs w:val="16"/>
    </w:rPr>
  </w:style>
  <w:style w:type="character" w:customStyle="1" w:styleId="TextodebaloChar">
    <w:name w:val="Texto de balão Char"/>
    <w:link w:val="Textodebalo"/>
    <w:uiPriority w:val="99"/>
    <w:locked/>
    <w:rPr>
      <w:rFonts w:ascii="Tahoma" w:hAnsi="Tahoma" w:cs="Tahoma"/>
      <w:sz w:val="16"/>
      <w:szCs w:val="16"/>
    </w:rPr>
  </w:style>
  <w:style w:type="paragraph" w:customStyle="1" w:styleId="Textoenun">
    <w:name w:val="Textoenun"/>
    <w:basedOn w:val="Normal"/>
    <w:uiPriority w:val="99"/>
    <w:pPr>
      <w:keepNext/>
      <w:keepLines/>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s>
      <w:ind w:left="737"/>
      <w:jc w:val="both"/>
    </w:pPr>
    <w:rPr>
      <w:sz w:val="28"/>
      <w:szCs w:val="28"/>
    </w:rPr>
  </w:style>
  <w:style w:type="paragraph" w:customStyle="1" w:styleId="NumProcesso">
    <w:name w:val="Num.Processo"/>
    <w:uiPriority w:val="99"/>
    <w:pPr>
      <w:widowControl w:val="0"/>
      <w:autoSpaceDE w:val="0"/>
      <w:autoSpaceDN w:val="0"/>
      <w:spacing w:before="170" w:line="360" w:lineRule="atLeast"/>
      <w:jc w:val="right"/>
    </w:pPr>
    <w:rPr>
      <w:rFonts w:ascii="Courier New" w:hAnsi="Courier New" w:cs="Courier New"/>
      <w:b/>
      <w:bCs/>
      <w:color w:val="000000"/>
      <w:sz w:val="24"/>
      <w:szCs w:val="24"/>
    </w:rPr>
  </w:style>
  <w:style w:type="character" w:styleId="nfase">
    <w:name w:val="Emphasis"/>
    <w:uiPriority w:val="20"/>
    <w:qFormat/>
    <w:rPr>
      <w:rFonts w:cs="Times New Roman"/>
      <w:i/>
      <w:iCs/>
    </w:rPr>
  </w:style>
  <w:style w:type="paragraph" w:customStyle="1" w:styleId="tema">
    <w:name w:val="tema"/>
    <w:link w:val="temaChar"/>
    <w:qFormat/>
    <w:pPr>
      <w:widowControl w:val="0"/>
      <w:autoSpaceDE w:val="0"/>
      <w:autoSpaceDN w:val="0"/>
      <w:spacing w:line="200" w:lineRule="exact"/>
      <w:ind w:left="567"/>
      <w:jc w:val="both"/>
    </w:pPr>
    <w:rPr>
      <w:rFonts w:ascii="Courier New" w:hAnsi="Courier New" w:cs="Courier New"/>
      <w:b/>
      <w:bCs/>
      <w:caps/>
      <w:color w:val="000000"/>
      <w:sz w:val="24"/>
      <w:szCs w:val="24"/>
    </w:rPr>
  </w:style>
  <w:style w:type="paragraph" w:styleId="NormalWeb">
    <w:name w:val="Normal (Web)"/>
    <w:basedOn w:val="Normal"/>
    <w:uiPriority w:val="99"/>
    <w:pPr>
      <w:spacing w:before="100" w:after="100"/>
    </w:pPr>
    <w:rPr>
      <w:sz w:val="24"/>
      <w:szCs w:val="24"/>
    </w:rPr>
  </w:style>
  <w:style w:type="character" w:customStyle="1" w:styleId="moz-txt-tag">
    <w:name w:val="moz-txt-tag"/>
    <w:uiPriority w:val="99"/>
    <w:rPr>
      <w:rFonts w:cs="Times New Roman"/>
    </w:rPr>
  </w:style>
  <w:style w:type="paragraph" w:customStyle="1" w:styleId="EXPLICAO">
    <w:name w:val="EXPLICAÇÃO"/>
    <w:pPr>
      <w:widowControl w:val="0"/>
      <w:autoSpaceDE w:val="0"/>
      <w:autoSpaceDN w:val="0"/>
      <w:spacing w:line="230" w:lineRule="atLeast"/>
      <w:ind w:left="284"/>
      <w:jc w:val="both"/>
    </w:pPr>
    <w:rPr>
      <w:rFonts w:ascii="Courier New" w:hAnsi="Courier New" w:cs="Courier New"/>
      <w:i/>
      <w:iCs/>
      <w:color w:val="000000"/>
      <w:sz w:val="24"/>
      <w:szCs w:val="24"/>
    </w:rPr>
  </w:style>
  <w:style w:type="paragraph" w:styleId="Pr-formataoHTML">
    <w:name w:val="HTML Preformatted"/>
    <w:basedOn w:val="Normal"/>
    <w:link w:val="Pr-formataoHTML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formataoHTMLChar">
    <w:name w:val="Pré-formatação HTML Char"/>
    <w:link w:val="Pr-formataoHTML"/>
    <w:uiPriority w:val="99"/>
    <w:locked/>
    <w:rPr>
      <w:rFonts w:ascii="Courier New" w:hAnsi="Courier New" w:cs="Courier New"/>
      <w:sz w:val="20"/>
      <w:szCs w:val="20"/>
    </w:rPr>
  </w:style>
  <w:style w:type="paragraph" w:customStyle="1" w:styleId="Preformatted">
    <w:name w:val="Preformatted"/>
    <w:basedOn w:val="Normal"/>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rPr>
  </w:style>
  <w:style w:type="paragraph" w:customStyle="1" w:styleId="explicao0">
    <w:name w:val="explicação"/>
    <w:qFormat/>
    <w:rsid w:val="00553197"/>
    <w:pPr>
      <w:widowControl w:val="0"/>
      <w:tabs>
        <w:tab w:val="left" w:pos="5103"/>
        <w:tab w:val="left" w:pos="5245"/>
      </w:tabs>
      <w:spacing w:line="200" w:lineRule="exact"/>
      <w:ind w:left="284"/>
      <w:jc w:val="both"/>
    </w:pPr>
    <w:rPr>
      <w:rFonts w:ascii="Courier New" w:hAnsi="Courier New"/>
      <w:i/>
      <w:color w:val="000000"/>
      <w:sz w:val="24"/>
    </w:rPr>
  </w:style>
  <w:style w:type="paragraph" w:customStyle="1" w:styleId="Tabela">
    <w:name w:val="Tabela"/>
    <w:rsid w:val="00004C36"/>
    <w:pPr>
      <w:widowControl w:val="0"/>
      <w:spacing w:line="255" w:lineRule="atLeast"/>
      <w:jc w:val="both"/>
    </w:pPr>
    <w:rPr>
      <w:rFonts w:ascii="Courier New" w:hAnsi="Courier New"/>
      <w:caps/>
      <w:color w:val="000000"/>
      <w:sz w:val="24"/>
    </w:rPr>
  </w:style>
  <w:style w:type="character" w:customStyle="1" w:styleId="temaChar">
    <w:name w:val="tema Char"/>
    <w:link w:val="tema"/>
    <w:locked/>
    <w:rsid w:val="003908C5"/>
    <w:rPr>
      <w:rFonts w:ascii="Courier New" w:hAnsi="Courier New" w:cs="Courier New"/>
      <w:b/>
      <w:bCs/>
      <w:caps/>
      <w:color w:val="000000"/>
      <w:sz w:val="24"/>
      <w:szCs w:val="24"/>
      <w:lang w:val="pt-BR" w:eastAsia="pt-BR" w:bidi="ar-SA"/>
    </w:rPr>
  </w:style>
  <w:style w:type="character" w:customStyle="1" w:styleId="CorpoChar">
    <w:name w:val="Corpo Char"/>
    <w:link w:val="Corpo"/>
    <w:uiPriority w:val="99"/>
    <w:locked/>
    <w:rsid w:val="008D3C38"/>
    <w:rPr>
      <w:rFonts w:ascii="Courier New" w:hAnsi="Courier New" w:cs="Courier New"/>
      <w:color w:val="000000"/>
      <w:sz w:val="24"/>
      <w:szCs w:val="24"/>
      <w:lang w:val="en-US" w:eastAsia="pt-BR" w:bidi="ar-SA"/>
    </w:rPr>
  </w:style>
  <w:style w:type="character" w:customStyle="1" w:styleId="apple-converted-space">
    <w:name w:val="apple-converted-space"/>
    <w:rsid w:val="00766B7B"/>
    <w:rPr>
      <w:rFonts w:cs="Times New Roman"/>
    </w:rPr>
  </w:style>
  <w:style w:type="character" w:styleId="HiperlinkVisitado">
    <w:name w:val="FollowedHyperlink"/>
    <w:uiPriority w:val="99"/>
    <w:semiHidden/>
    <w:unhideWhenUsed/>
    <w:rsid w:val="008D3C4B"/>
    <w:rPr>
      <w:color w:val="800080"/>
      <w:u w:val="single"/>
    </w:rPr>
  </w:style>
  <w:style w:type="paragraph" w:customStyle="1" w:styleId="explicao1">
    <w:name w:val="explicao"/>
    <w:basedOn w:val="Normal"/>
    <w:rsid w:val="0005125E"/>
    <w:pPr>
      <w:autoSpaceDE/>
      <w:autoSpaceDN/>
      <w:spacing w:before="100" w:beforeAutospacing="1" w:after="100" w:afterAutospacing="1"/>
    </w:pPr>
    <w:rPr>
      <w:sz w:val="24"/>
      <w:szCs w:val="24"/>
    </w:rPr>
  </w:style>
  <w:style w:type="character" w:customStyle="1" w:styleId="f51">
    <w:name w:val="f51"/>
    <w:rsid w:val="0005125E"/>
    <w:rPr>
      <w:rFonts w:ascii="Times" w:hAnsi="Times" w:hint="default"/>
      <w:sz w:val="24"/>
      <w:szCs w:val="24"/>
    </w:rPr>
  </w:style>
  <w:style w:type="character" w:customStyle="1" w:styleId="TranscrioChar">
    <w:name w:val="Transcrição Char"/>
    <w:link w:val="Transcrio"/>
    <w:uiPriority w:val="99"/>
    <w:locked/>
    <w:rsid w:val="00BC209E"/>
    <w:rPr>
      <w:rFonts w:ascii="Times New Roman" w:hAnsi="Times New Roman"/>
      <w:color w:val="000000"/>
      <w:sz w:val="24"/>
      <w:szCs w:val="24"/>
      <w:lang w:val="en-US"/>
    </w:rPr>
  </w:style>
  <w:style w:type="paragraph" w:customStyle="1" w:styleId="OJDASBDI-1">
    <w:name w:val="OJ DA SBDI-1"/>
    <w:basedOn w:val="Normal"/>
    <w:qFormat/>
    <w:rsid w:val="00BC209E"/>
    <w:pPr>
      <w:tabs>
        <w:tab w:val="left" w:pos="1453"/>
      </w:tabs>
      <w:autoSpaceDE/>
      <w:autoSpaceDN/>
      <w:spacing w:after="200" w:line="276" w:lineRule="auto"/>
      <w:jc w:val="both"/>
    </w:pPr>
    <w:rPr>
      <w:rFonts w:eastAsia="Calibri"/>
      <w:b/>
      <w:caps/>
      <w:sz w:val="28"/>
      <w:szCs w:val="28"/>
      <w:lang w:eastAsia="en-US"/>
    </w:rPr>
  </w:style>
  <w:style w:type="paragraph" w:customStyle="1" w:styleId="CPCeproposta">
    <w:name w:val="CPC e proposta"/>
    <w:basedOn w:val="Normal"/>
    <w:autoRedefine/>
    <w:qFormat/>
    <w:rsid w:val="00BC209E"/>
    <w:pPr>
      <w:autoSpaceDE/>
      <w:autoSpaceDN/>
      <w:ind w:left="1134"/>
      <w:jc w:val="both"/>
    </w:pPr>
    <w:rPr>
      <w:rFonts w:ascii="Courier New" w:eastAsia="Calibri" w:hAnsi="Courier New" w:cs="Courier New"/>
      <w:b/>
      <w:color w:val="FF0000"/>
      <w:sz w:val="24"/>
      <w:szCs w:val="24"/>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1731398">
      <w:marLeft w:val="0"/>
      <w:marRight w:val="0"/>
      <w:marTop w:val="0"/>
      <w:marBottom w:val="0"/>
      <w:divBdr>
        <w:top w:val="none" w:sz="0" w:space="0" w:color="auto"/>
        <w:left w:val="none" w:sz="0" w:space="0" w:color="auto"/>
        <w:bottom w:val="none" w:sz="0" w:space="0" w:color="auto"/>
        <w:right w:val="none" w:sz="0" w:space="0" w:color="auto"/>
      </w:divBdr>
    </w:div>
    <w:div w:id="1321731399">
      <w:marLeft w:val="0"/>
      <w:marRight w:val="0"/>
      <w:marTop w:val="0"/>
      <w:marBottom w:val="0"/>
      <w:divBdr>
        <w:top w:val="none" w:sz="0" w:space="0" w:color="auto"/>
        <w:left w:val="none" w:sz="0" w:space="0" w:color="auto"/>
        <w:bottom w:val="none" w:sz="0" w:space="0" w:color="auto"/>
        <w:right w:val="none" w:sz="0" w:space="0" w:color="auto"/>
      </w:divBdr>
    </w:div>
    <w:div w:id="1321731400">
      <w:marLeft w:val="0"/>
      <w:marRight w:val="0"/>
      <w:marTop w:val="0"/>
      <w:marBottom w:val="0"/>
      <w:divBdr>
        <w:top w:val="none" w:sz="0" w:space="0" w:color="auto"/>
        <w:left w:val="none" w:sz="0" w:space="0" w:color="auto"/>
        <w:bottom w:val="none" w:sz="0" w:space="0" w:color="auto"/>
        <w:right w:val="none" w:sz="0" w:space="0" w:color="auto"/>
      </w:divBdr>
    </w:div>
    <w:div w:id="1321731401">
      <w:marLeft w:val="0"/>
      <w:marRight w:val="0"/>
      <w:marTop w:val="0"/>
      <w:marBottom w:val="0"/>
      <w:divBdr>
        <w:top w:val="none" w:sz="0" w:space="0" w:color="auto"/>
        <w:left w:val="none" w:sz="0" w:space="0" w:color="auto"/>
        <w:bottom w:val="none" w:sz="0" w:space="0" w:color="auto"/>
        <w:right w:val="none" w:sz="0" w:space="0" w:color="auto"/>
      </w:divBdr>
    </w:div>
    <w:div w:id="1321731402">
      <w:marLeft w:val="0"/>
      <w:marRight w:val="0"/>
      <w:marTop w:val="0"/>
      <w:marBottom w:val="0"/>
      <w:divBdr>
        <w:top w:val="none" w:sz="0" w:space="0" w:color="auto"/>
        <w:left w:val="none" w:sz="0" w:space="0" w:color="auto"/>
        <w:bottom w:val="none" w:sz="0" w:space="0" w:color="auto"/>
        <w:right w:val="none" w:sz="0" w:space="0" w:color="auto"/>
      </w:divBdr>
    </w:div>
    <w:div w:id="1321731403">
      <w:marLeft w:val="0"/>
      <w:marRight w:val="0"/>
      <w:marTop w:val="0"/>
      <w:marBottom w:val="0"/>
      <w:divBdr>
        <w:top w:val="none" w:sz="0" w:space="0" w:color="auto"/>
        <w:left w:val="none" w:sz="0" w:space="0" w:color="auto"/>
        <w:bottom w:val="none" w:sz="0" w:space="0" w:color="auto"/>
        <w:right w:val="none" w:sz="0" w:space="0" w:color="auto"/>
      </w:divBdr>
    </w:div>
    <w:div w:id="1321731404">
      <w:marLeft w:val="0"/>
      <w:marRight w:val="0"/>
      <w:marTop w:val="0"/>
      <w:marBottom w:val="0"/>
      <w:divBdr>
        <w:top w:val="none" w:sz="0" w:space="0" w:color="auto"/>
        <w:left w:val="none" w:sz="0" w:space="0" w:color="auto"/>
        <w:bottom w:val="none" w:sz="0" w:space="0" w:color="auto"/>
        <w:right w:val="none" w:sz="0" w:space="0" w:color="auto"/>
      </w:divBdr>
    </w:div>
    <w:div w:id="1321731405">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aplicacao4.tst.jus.br/consultaProcessual/consultaTstNumUnica.do?consulta=Consultar&amp;conscsjt=&amp;numeroTst=117400&amp;digitoTst=47&amp;anoTst=2005&amp;orgaoTst=5&amp;tribunalTst=14&amp;varaTst=0001"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plicacao4.tst.jus.br/consultaProcessual/consultaTstNumUnica.do?consulta=Consultar&amp;conscsjt=&amp;numeroTst=2303&amp;digitoTst=30&amp;anoTst=2012&amp;orgaoTst=5&amp;tribunalTst=02&amp;varaTst=0472"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aplicacao4.tst.jus.br/consultaProcessual/consultaTstNumUnica.do?consulta=Consultar&amp;conscsjt=&amp;numeroTst=452&amp;digitoTst=36&amp;anoTst=2012&amp;orgaoTst=5&amp;tribunalTst=03&amp;varaTst=0113" TargetMode="External"/><Relationship Id="rId4" Type="http://schemas.openxmlformats.org/officeDocument/2006/relationships/settings" Target="settings.xml"/><Relationship Id="rId9" Type="http://schemas.openxmlformats.org/officeDocument/2006/relationships/hyperlink" Target="http://aplicacao4.tst.jus.br/consultaProcessual/resumoForm.do?consulta=1&amp;numeroInt=112813&amp;anoInt=2003"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FB649E-857E-4ED0-A4F1-89FBBB7E6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2327</Words>
  <Characters>12567</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Este Informativo, elaborado a partir de notas tomadas nas sessões de julgamentos, contém resumos não-oficiais de decisões proferidas pelo Tribunal</vt:lpstr>
    </vt:vector>
  </TitlesOfParts>
  <Company>Tribunal Superior do Trabalho</Company>
  <LinksUpToDate>false</LinksUpToDate>
  <CharactersWithSpaces>14865</CharactersWithSpaces>
  <SharedDoc>false</SharedDoc>
  <HLinks>
    <vt:vector size="24" baseType="variant">
      <vt:variant>
        <vt:i4>2556023</vt:i4>
      </vt:variant>
      <vt:variant>
        <vt:i4>9</vt:i4>
      </vt:variant>
      <vt:variant>
        <vt:i4>0</vt:i4>
      </vt:variant>
      <vt:variant>
        <vt:i4>5</vt:i4>
      </vt:variant>
      <vt:variant>
        <vt:lpwstr>http://aplicacao4.tst.jus.br/consultaProcessual/consultaTstNumUnica.do?consulta=Consultar&amp;conscsjt=&amp;numeroTst=2303&amp;digitoTst=30&amp;anoTst=2012&amp;orgaoTst=5&amp;tribunalTst=02&amp;varaTst=0472</vt:lpwstr>
      </vt:variant>
      <vt:variant>
        <vt:lpwstr/>
      </vt:variant>
      <vt:variant>
        <vt:i4>6029323</vt:i4>
      </vt:variant>
      <vt:variant>
        <vt:i4>6</vt:i4>
      </vt:variant>
      <vt:variant>
        <vt:i4>0</vt:i4>
      </vt:variant>
      <vt:variant>
        <vt:i4>5</vt:i4>
      </vt:variant>
      <vt:variant>
        <vt:lpwstr>http://aplicacao4.tst.jus.br/consultaProcessual/consultaTstNumUnica.do?consulta=Consultar&amp;conscsjt=&amp;numeroTst=452&amp;digitoTst=36&amp;anoTst=2012&amp;orgaoTst=5&amp;tribunalTst=03&amp;varaTst=0113</vt:lpwstr>
      </vt:variant>
      <vt:variant>
        <vt:lpwstr/>
      </vt:variant>
      <vt:variant>
        <vt:i4>5701711</vt:i4>
      </vt:variant>
      <vt:variant>
        <vt:i4>3</vt:i4>
      </vt:variant>
      <vt:variant>
        <vt:i4>0</vt:i4>
      </vt:variant>
      <vt:variant>
        <vt:i4>5</vt:i4>
      </vt:variant>
      <vt:variant>
        <vt:lpwstr>http://aplicacao4.tst.jus.br/consultaProcessual/resumoForm.do?consulta=1&amp;numeroInt=112813&amp;anoInt=2003</vt:lpwstr>
      </vt:variant>
      <vt:variant>
        <vt:lpwstr/>
      </vt:variant>
      <vt:variant>
        <vt:i4>1179714</vt:i4>
      </vt:variant>
      <vt:variant>
        <vt:i4>0</vt:i4>
      </vt:variant>
      <vt:variant>
        <vt:i4>0</vt:i4>
      </vt:variant>
      <vt:variant>
        <vt:i4>5</vt:i4>
      </vt:variant>
      <vt:variant>
        <vt:lpwstr>http://aplicacao4.tst.jus.br/consultaProcessual/consultaTstNumUnica.do?consulta=Consultar&amp;conscsjt=&amp;numeroTst=117400&amp;digitoTst=47&amp;anoTst=2005&amp;orgaoTst=5&amp;tribunalTst=14&amp;varaTst=0001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Este Informativo, elaborado a partir de notas tomadas nas sessões de julgamentos, contém resumos não-oficiais de decisões proferidas pelo Tribunal</dc:title>
  <dc:subject/>
  <dc:creator>C037163</dc:creator>
  <cp:keywords/>
  <cp:lastModifiedBy>c041658</cp:lastModifiedBy>
  <cp:revision>2</cp:revision>
  <cp:lastPrinted>2016-05-09T16:14:00Z</cp:lastPrinted>
  <dcterms:created xsi:type="dcterms:W3CDTF">2017-05-18T23:10:00Z</dcterms:created>
  <dcterms:modified xsi:type="dcterms:W3CDTF">2017-05-18T23:10:00Z</dcterms:modified>
</cp:coreProperties>
</file>