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05125E" w:rsidRPr="00CE7555" w:rsidRDefault="00796745" w:rsidP="0005125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TRIBUNAL PLENO</w:t>
      </w:r>
    </w:p>
    <w:p w:rsidR="0005125E" w:rsidRDefault="0005125E" w:rsidP="00A903E4">
      <w:pPr>
        <w:adjustRightInd w:val="0"/>
        <w:jc w:val="both"/>
        <w:rPr>
          <w:b/>
          <w:i/>
          <w:sz w:val="10"/>
          <w:szCs w:val="10"/>
        </w:rPr>
      </w:pPr>
    </w:p>
    <w:p w:rsidR="00796745" w:rsidRPr="00796745" w:rsidRDefault="00796745" w:rsidP="00A903E4">
      <w:pPr>
        <w:adjustRightInd w:val="0"/>
        <w:jc w:val="both"/>
        <w:rPr>
          <w:b/>
          <w:i/>
          <w:sz w:val="10"/>
          <w:szCs w:val="10"/>
        </w:rPr>
      </w:pPr>
    </w:p>
    <w:p w:rsidR="00796745" w:rsidRDefault="00796745" w:rsidP="00796745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796745">
        <w:rPr>
          <w:rFonts w:eastAsia="Calibri"/>
          <w:sz w:val="24"/>
          <w:szCs w:val="24"/>
          <w:lang w:eastAsia="en-US"/>
        </w:rPr>
        <w:t>O Tribunal Pleno, na sessão extraordinária do dia 12.4.2016, aprovou as seguintes modificações na jurisprudência da Corte, publicadas no DEJT divulgado em 18, 19 e 20.4.2016:</w:t>
      </w:r>
    </w:p>
    <w:p w:rsidR="00796745" w:rsidRDefault="00796745" w:rsidP="00796745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p w:rsidR="00796745" w:rsidRPr="00796745" w:rsidRDefault="00796745" w:rsidP="00796745">
      <w:pPr>
        <w:jc w:val="both"/>
        <w:rPr>
          <w:b/>
          <w:bCs/>
          <w:iCs/>
          <w:color w:val="000000"/>
          <w:sz w:val="24"/>
          <w:szCs w:val="24"/>
        </w:rPr>
      </w:pPr>
      <w:r w:rsidRPr="00796745">
        <w:rPr>
          <w:b/>
          <w:bCs/>
          <w:iCs/>
          <w:color w:val="000000"/>
          <w:sz w:val="24"/>
          <w:szCs w:val="24"/>
        </w:rPr>
        <w:t>SÚMULA Nº 288 DO TST</w:t>
      </w:r>
    </w:p>
    <w:p w:rsidR="00796745" w:rsidRPr="00796745" w:rsidRDefault="00796745" w:rsidP="00796745">
      <w:pPr>
        <w:jc w:val="both"/>
        <w:rPr>
          <w:b/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COMPLEMENTAÇÃO DOS PROVENTOS DA APOSENTADORIA.</w:t>
      </w:r>
      <w:r w:rsidRPr="00796745">
        <w:rPr>
          <w:b/>
          <w:color w:val="000000"/>
          <w:sz w:val="24"/>
          <w:szCs w:val="24"/>
        </w:rPr>
        <w:t xml:space="preserve"> (nova redação para o item I e acrescidos os itens III e IV em decorrência do julgamento do processo TST-E-ED-RR-235-20.2010.5.20.0006 pelo Tribunal Pleno em 12.04.2016)</w:t>
      </w:r>
    </w:p>
    <w:p w:rsidR="00796745" w:rsidRPr="00796745" w:rsidRDefault="00796745" w:rsidP="00796745">
      <w:pPr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I - A complementação dos proventos de aposentadoria, instituída, regulamentada e paga diretamente pelo empregador, sem vínculo com as entidades de previdência privada fechada, é regida pelas normas em vigor na data de admissão do empregado, ressalvadas as alterações que forem mais benéficas (art. 468 da CLT);</w:t>
      </w:r>
    </w:p>
    <w:p w:rsidR="00796745" w:rsidRPr="00796745" w:rsidRDefault="00796745" w:rsidP="00796745">
      <w:pPr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II - Na hipótese de coexistência de dois regulamentos de planos de previdência complementar, instituídos pelo empregador ou por entidade de previdência privada, a opção do beneficiário por um deles tem efeito jurídico de renúncia às regras do outro;</w:t>
      </w:r>
    </w:p>
    <w:p w:rsidR="00796745" w:rsidRPr="00796745" w:rsidRDefault="00796745" w:rsidP="00796745">
      <w:pPr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III – Após a entrada em vigor das Leis Complementares nº</w:t>
      </w:r>
      <w:r w:rsidRPr="00796745">
        <w:rPr>
          <w:color w:val="000000"/>
          <w:sz w:val="24"/>
          <w:szCs w:val="24"/>
          <w:vertAlign w:val="superscript"/>
        </w:rPr>
        <w:t>s</w:t>
      </w:r>
      <w:r w:rsidRPr="00796745">
        <w:rPr>
          <w:color w:val="000000"/>
          <w:sz w:val="24"/>
          <w:szCs w:val="24"/>
        </w:rPr>
        <w:t xml:space="preserve"> 108 e 109, de 29/05/2001, reger-se-á a complementação dos proventos de aposentadoria pelas normas vigentes na data da implementação dos requisitos para obtenção do benefício, ressalvados o direito adquirido do participante que anteriormente implementara os requisitos para o benefício e o direito acumulado do empregado que até então não preenchera tais requisitos;</w:t>
      </w:r>
    </w:p>
    <w:p w:rsidR="00796745" w:rsidRPr="00796745" w:rsidRDefault="00796745" w:rsidP="00796745">
      <w:pPr>
        <w:jc w:val="both"/>
        <w:rPr>
          <w:sz w:val="24"/>
          <w:szCs w:val="24"/>
        </w:rPr>
      </w:pPr>
      <w:r w:rsidRPr="00796745">
        <w:rPr>
          <w:sz w:val="24"/>
          <w:szCs w:val="24"/>
        </w:rPr>
        <w:t xml:space="preserve">IV – O entendimento da primeira parte do item III aplica-se aos processos em curso no TST em que, em 12/04/2016, ainda não haja sido proferida decisão de mérito por suas Turmas e Seções. </w:t>
      </w:r>
    </w:p>
    <w:p w:rsidR="00796745" w:rsidRPr="00796745" w:rsidRDefault="00796745" w:rsidP="00796745">
      <w:pPr>
        <w:jc w:val="both"/>
        <w:rPr>
          <w:b/>
          <w:bCs/>
          <w:iCs/>
          <w:color w:val="000000"/>
          <w:sz w:val="24"/>
          <w:szCs w:val="24"/>
        </w:rPr>
      </w:pPr>
    </w:p>
    <w:p w:rsidR="00796745" w:rsidRPr="00796745" w:rsidRDefault="00796745" w:rsidP="00796745">
      <w:pPr>
        <w:shd w:val="clear" w:color="auto" w:fill="FFFFFF"/>
        <w:autoSpaceDE/>
        <w:autoSpaceDN/>
        <w:jc w:val="both"/>
        <w:rPr>
          <w:b/>
          <w:bCs/>
          <w:iCs/>
          <w:color w:val="000000"/>
          <w:sz w:val="24"/>
          <w:szCs w:val="24"/>
        </w:rPr>
      </w:pPr>
      <w:r w:rsidRPr="00796745">
        <w:rPr>
          <w:b/>
          <w:bCs/>
          <w:iCs/>
          <w:color w:val="000000"/>
          <w:sz w:val="24"/>
          <w:szCs w:val="24"/>
        </w:rPr>
        <w:t>OJ Nº 155 DA SBDI-II</w:t>
      </w:r>
    </w:p>
    <w:p w:rsidR="00796745" w:rsidRPr="00796745" w:rsidRDefault="00796745" w:rsidP="00796745">
      <w:pPr>
        <w:keepNext/>
        <w:keepLines/>
        <w:autoSpaceDE/>
        <w:autoSpaceDN/>
        <w:jc w:val="both"/>
        <w:rPr>
          <w:b/>
          <w:caps/>
          <w:snapToGrid w:val="0"/>
          <w:sz w:val="24"/>
          <w:szCs w:val="24"/>
        </w:rPr>
      </w:pPr>
      <w:r w:rsidRPr="00796745">
        <w:rPr>
          <w:color w:val="000000"/>
          <w:sz w:val="24"/>
          <w:szCs w:val="24"/>
        </w:rPr>
        <w:t xml:space="preserve">AÇÃO RESCISÓRIA E MANDADO DE SEGURANÇA. VALOR ATRIBUÍDO À CAUSA NA INICIAL. MAJORAÇÃO DE OFÍCIO. INVIABILIDADE. </w:t>
      </w:r>
      <w:r w:rsidRPr="00796745">
        <w:rPr>
          <w:b/>
          <w:color w:val="000000"/>
          <w:sz w:val="24"/>
          <w:szCs w:val="24"/>
        </w:rPr>
        <w:t>(cancelada)</w:t>
      </w:r>
    </w:p>
    <w:p w:rsidR="00796745" w:rsidRPr="00796745" w:rsidRDefault="00796745" w:rsidP="00796745">
      <w:pPr>
        <w:keepNext/>
        <w:keepLines/>
        <w:autoSpaceDE/>
        <w:autoSpaceDN/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Atribuído o valor da causa na inicial da ação rescisória ou do mandado de segurança e não havendo impugnação, nos termos do art. 261 do CPC, é defeso ao Juízo majorá-lo de ofício, ante a ausência de amparo legal. Inaplicável, na hipótese, a Orientação Jurisprudencial da SBDI-2 nº 147 e o art. 2º, II, da Instrução Normativa nº 31 do TST.</w:t>
      </w:r>
    </w:p>
    <w:p w:rsidR="00A903E4" w:rsidRDefault="00796745" w:rsidP="00796745">
      <w:pPr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 </w:t>
      </w:r>
    </w:p>
    <w:p w:rsidR="00796745" w:rsidRPr="00971E5F" w:rsidRDefault="00796745" w:rsidP="00796745">
      <w:pPr>
        <w:shd w:val="clear" w:color="auto" w:fill="FFFFFF"/>
        <w:autoSpaceDE/>
        <w:autoSpaceDN/>
        <w:spacing w:line="240" w:lineRule="atLeast"/>
        <w:jc w:val="both"/>
        <w:rPr>
          <w:u w:val="single"/>
        </w:rPr>
      </w:pPr>
    </w:p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A903E4" w:rsidRPr="00796745" w:rsidRDefault="00A903E4" w:rsidP="00A903E4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10"/>
          <w:szCs w:val="10"/>
          <w:lang w:val="pt-BR" w:eastAsia="en-US"/>
        </w:rPr>
      </w:pPr>
    </w:p>
    <w:p w:rsidR="00796745" w:rsidRDefault="00796745" w:rsidP="00796745">
      <w:pPr>
        <w:jc w:val="both"/>
        <w:rPr>
          <w:b/>
          <w:i/>
          <w:sz w:val="24"/>
          <w:szCs w:val="24"/>
        </w:rPr>
      </w:pPr>
    </w:p>
    <w:p w:rsidR="00796745" w:rsidRPr="00B4525E" w:rsidRDefault="00796745" w:rsidP="007967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Motorista e cobrador. Acúmulo de funções. Possibilidade. Atividades compatíveis com a condição pessoal do empregado. Art. 456, parágrafo único, da CLT. </w:t>
      </w:r>
    </w:p>
    <w:p w:rsidR="00796745" w:rsidRPr="00655956" w:rsidRDefault="00796745" w:rsidP="00796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parágrafo único do art. 456 da CLT permite ao empregador exigir do empregado qualquer atividade compatível com sua condição pessoal, desde que lícita e dentro da jornada de trabalho. Assim, tendo em conta que a atividade de cobrador é, em regra, compatível com a atividade de motorista, não existe justificativa para a percepção de acréscimo salarial em decorrência do </w:t>
      </w:r>
      <w:r>
        <w:rPr>
          <w:sz w:val="24"/>
          <w:szCs w:val="24"/>
        </w:rPr>
        <w:lastRenderedPageBreak/>
        <w:t xml:space="preserve">exercício concomitante das duas funções na mesma jornada. Sob esse fundamento, a SBDI-I, por unanimidade, conheceu dos embargos da reclamada, por divergência jurisprudencial, e, no mérito, deu-lhes provimento para excluir da condenação as diferenças salariais pelo acúmulo de funções. </w:t>
      </w:r>
      <w:hyperlink r:id="rId8" w:history="1">
        <w:r w:rsidRPr="00796745">
          <w:rPr>
            <w:rStyle w:val="Hyperlink"/>
            <w:sz w:val="24"/>
            <w:szCs w:val="24"/>
          </w:rPr>
          <w:t>TST-E-RR-67-15.2012.5.01.0511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Alexandre Agra Belmonte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14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F907EB" w:rsidRDefault="00F907EB" w:rsidP="00C54185">
      <w:pPr>
        <w:jc w:val="both"/>
      </w:pPr>
    </w:p>
    <w:p w:rsidR="00796745" w:rsidRPr="00796745" w:rsidRDefault="00796745" w:rsidP="00C54185">
      <w:pPr>
        <w:jc w:val="both"/>
      </w:pPr>
    </w:p>
    <w:p w:rsidR="00796745" w:rsidRPr="00796745" w:rsidRDefault="00796745" w:rsidP="00796745">
      <w:pPr>
        <w:autoSpaceDE/>
        <w:autoSpaceDN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796745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>Embargos. Decisão de Turma que reinterpreta os depoimentos transcritos no acórdão recorrido. Contrariedade à Súmula nº 126 do TST. Configuração.</w:t>
      </w:r>
    </w:p>
    <w:p w:rsidR="00796745" w:rsidRPr="00796745" w:rsidRDefault="00796745" w:rsidP="00796745">
      <w:pPr>
        <w:autoSpaceDE/>
        <w:autoSpaceDN/>
        <w:jc w:val="both"/>
        <w:rPr>
          <w:rFonts w:eastAsia="Calibri"/>
          <w:sz w:val="24"/>
          <w:szCs w:val="24"/>
          <w:u w:val="single"/>
          <w:lang w:eastAsia="en-US"/>
        </w:rPr>
      </w:pPr>
      <w:r w:rsidRPr="00796745">
        <w:rPr>
          <w:rFonts w:ascii="Times" w:eastAsia="Calibri" w:hAnsi="Times"/>
          <w:sz w:val="24"/>
          <w:szCs w:val="24"/>
          <w:lang w:eastAsia="en-US"/>
        </w:rPr>
        <w:t xml:space="preserve">Contraria a Súmula nº 126 do TST a decisão de Turma que reforma decisão do Regional com fundamento na reanálise dos depoimentos transcritos, pois configurado o reexame da prova. Na espécie, o TRT negou a existência de vínculo de emprego entre o reclamante e a Igreja Universal do Reino de Deus pautado não apenas na ausência de pessoalidade e de subordinação, mas também por vislumbrar vocação religiosa. Desse modo, ao reinterpretar os depoimentos constantes do acórdão recorrido e deles extrair conclusão diversa da prova produzida, ou seja, de que houve vínculo empregatício, a Turma reavaliou o conjunto de fatos e provas, o que é vedado na instância extraordinária por força da Súmula nº 126 do TST. Sob esse entendimento, a SBDI-I, por maioria, conheceu dos embargos por contrariedade à Súmula nº 126 do TST e, no mérito, deu-lhes provimento para não conhecer do recurso de revista do reclamante em relação ao pedido de reconhecimento de vínculo de emprego, restabelecendo, portanto, a decisão do Regional no tópico. Vencido o Ministro Alexandre Agra Belmonte. </w:t>
      </w:r>
      <w:hyperlink r:id="rId9" w:history="1">
        <w:r w:rsidRPr="00796745">
          <w:rPr>
            <w:rStyle w:val="Hyperlink"/>
            <w:rFonts w:eastAsia="Calibri"/>
            <w:sz w:val="24"/>
            <w:szCs w:val="24"/>
            <w:lang w:eastAsia="en-US"/>
          </w:rPr>
          <w:t>TST-E-ED-RR-1007-13.2011.5.09.0892</w:t>
        </w:r>
      </w:hyperlink>
      <w:r w:rsidRPr="00796745">
        <w:rPr>
          <w:rFonts w:eastAsia="Calibri"/>
          <w:sz w:val="24"/>
          <w:szCs w:val="24"/>
          <w:u w:val="single"/>
          <w:lang w:eastAsia="en-US"/>
        </w:rPr>
        <w:t>, SBDI-I, rel. Min Aloysio Corrêa da Veiga, 14.4.2016</w:t>
      </w:r>
    </w:p>
    <w:p w:rsidR="00796745" w:rsidRDefault="00796745" w:rsidP="00796745">
      <w:pPr>
        <w:shd w:val="clear" w:color="auto" w:fill="FFFFFF"/>
        <w:autoSpaceDE/>
        <w:autoSpaceDN/>
        <w:spacing w:line="240" w:lineRule="atLeast"/>
        <w:jc w:val="both"/>
        <w:rPr>
          <w:color w:val="000000"/>
          <w:sz w:val="24"/>
          <w:szCs w:val="24"/>
        </w:rPr>
      </w:pPr>
      <w:r w:rsidRPr="00796745">
        <w:rPr>
          <w:color w:val="000000"/>
          <w:sz w:val="24"/>
          <w:szCs w:val="24"/>
        </w:rPr>
        <w:t> </w:t>
      </w:r>
    </w:p>
    <w:p w:rsidR="00796745" w:rsidRPr="00971E5F" w:rsidRDefault="00796745" w:rsidP="00796745">
      <w:pPr>
        <w:shd w:val="clear" w:color="auto" w:fill="FFFFFF"/>
        <w:autoSpaceDE/>
        <w:autoSpaceDN/>
        <w:spacing w:line="240" w:lineRule="atLeast"/>
        <w:jc w:val="both"/>
        <w:rPr>
          <w:u w:val="single"/>
        </w:rPr>
      </w:pPr>
    </w:p>
    <w:p w:rsidR="00796745" w:rsidRPr="00CE7555" w:rsidRDefault="00796745" w:rsidP="0079674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 ESPECIALIZADA EM DISSÍDIOS INDIVIDUAIS</w:t>
      </w:r>
    </w:p>
    <w:p w:rsidR="00F907EB" w:rsidRPr="00796745" w:rsidRDefault="00F907EB" w:rsidP="00C54185">
      <w:pPr>
        <w:jc w:val="both"/>
        <w:rPr>
          <w:sz w:val="10"/>
          <w:szCs w:val="10"/>
        </w:rPr>
      </w:pPr>
    </w:p>
    <w:p w:rsidR="00796745" w:rsidRDefault="00796745" w:rsidP="00796745">
      <w:pPr>
        <w:autoSpaceDE/>
        <w:autoSpaceDN/>
        <w:ind w:right="-74"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</w:p>
    <w:p w:rsidR="00796745" w:rsidRPr="00796745" w:rsidRDefault="00796745" w:rsidP="00796745">
      <w:pPr>
        <w:autoSpaceDE/>
        <w:autoSpaceDN/>
        <w:ind w:right="-74"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796745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 xml:space="preserve">Conflito de competência. Ação proposta no domicílio do advogado. Incompetência.  Remessa ao juízo do local da prestação dos serviços. Prejuízo à defesa do autor. Competência da Vara do Trabalho que tem jurisdição sob o local da contratação. </w:t>
      </w:r>
    </w:p>
    <w:p w:rsidR="00796745" w:rsidRDefault="00796745" w:rsidP="00796745">
      <w:pPr>
        <w:autoSpaceDE/>
        <w:autoSpaceDN/>
        <w:ind w:right="-74"/>
        <w:jc w:val="both"/>
        <w:rPr>
          <w:rFonts w:eastAsia="Calibri"/>
          <w:sz w:val="24"/>
          <w:szCs w:val="24"/>
          <w:u w:val="single"/>
          <w:lang w:eastAsia="en-US"/>
        </w:rPr>
      </w:pPr>
      <w:r w:rsidRPr="00796745">
        <w:rPr>
          <w:rFonts w:ascii="Times" w:eastAsia="Calibri" w:hAnsi="Times"/>
          <w:sz w:val="24"/>
          <w:szCs w:val="24"/>
          <w:lang w:eastAsia="en-US"/>
        </w:rPr>
        <w:t xml:space="preserve">Para a fixação da competência territorial devem prevalecer os critérios objetivos estabelecidos no art. 651, </w:t>
      </w:r>
      <w:r w:rsidRPr="00796745">
        <w:rPr>
          <w:rFonts w:ascii="Times" w:eastAsia="Calibri" w:hAnsi="Times"/>
          <w:i/>
          <w:sz w:val="24"/>
          <w:szCs w:val="24"/>
          <w:lang w:eastAsia="en-US"/>
        </w:rPr>
        <w:t>caput</w:t>
      </w:r>
      <w:r w:rsidRPr="00796745">
        <w:rPr>
          <w:rFonts w:ascii="Times" w:eastAsia="Calibri" w:hAnsi="Times"/>
          <w:sz w:val="24"/>
          <w:szCs w:val="24"/>
          <w:lang w:eastAsia="en-US"/>
        </w:rPr>
        <w:t xml:space="preserve"> e § 3º, da CLT, admitindo-se o ajuizamento da reclamação trabalhista no domicílio do reclamante apenas se este coincidir com o local da prestação dos serviços ou da contratação. Assim, na hipótese em que o autor foi contratado na cidade de Alvorada do Norte/GO, e posteriormente transferido para Porto Velho/RO, local da extinção do pacto laboral, não atende ao comando legal o ajuizamento da reclamação em Brasília/DF, domicílio do advogado que patrocina a reclamação. De outra sorte, o declínio da competência em favor de uma das varas do trabalho de Porto Velho/RO também não se mostra adequado, eis que impediria a defesa dos direitos do autor, domiciliado no Estado de Goiás. Sob esses fundamentos, a SBDI-II, por unanimidade, admitiu conflito negativo de competência instaurado entre a 6ª Vara do Trabalho de Porto Velho/RO (suscitante) e a 18ª Vara do Trabalho de Brasília/DF (suscitado) para declarar a competência do Juízo da Vara do Trabalho de Posse/GO, que tem jurisdição sob a cidade de Alvorada do Norte/GO, local da contratação e domicílio do reclamante.</w:t>
      </w:r>
      <w:r w:rsidRPr="00796745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Pr="00796745">
          <w:rPr>
            <w:rStyle w:val="Hyperlink"/>
            <w:rFonts w:eastAsia="Calibri"/>
            <w:sz w:val="24"/>
            <w:szCs w:val="24"/>
            <w:lang w:eastAsia="en-US"/>
          </w:rPr>
          <w:t>TST-CC-1-64.2014.5.14.0006</w:t>
        </w:r>
      </w:hyperlink>
      <w:r w:rsidRPr="00796745">
        <w:rPr>
          <w:rFonts w:eastAsia="Calibri"/>
          <w:sz w:val="24"/>
          <w:szCs w:val="24"/>
          <w:u w:val="single"/>
          <w:lang w:eastAsia="en-US"/>
        </w:rPr>
        <w:t>, SBDI-II, rel. Min Douglas Alencar Rodrigues, 12.4.2016</w:t>
      </w:r>
    </w:p>
    <w:p w:rsidR="00796745" w:rsidRDefault="00796745" w:rsidP="00796745">
      <w:pPr>
        <w:autoSpaceDE/>
        <w:autoSpaceDN/>
        <w:ind w:right="-74"/>
        <w:jc w:val="both"/>
        <w:rPr>
          <w:rFonts w:eastAsia="Calibri"/>
          <w:u w:val="single"/>
          <w:lang w:eastAsia="en-US"/>
        </w:rPr>
      </w:pPr>
    </w:p>
    <w:p w:rsidR="00796745" w:rsidRPr="00796745" w:rsidRDefault="00796745" w:rsidP="00796745">
      <w:pPr>
        <w:autoSpaceDE/>
        <w:autoSpaceDN/>
        <w:ind w:right="-74"/>
        <w:jc w:val="both"/>
        <w:rPr>
          <w:rFonts w:eastAsia="Calibri"/>
          <w:u w:val="single"/>
          <w:lang w:eastAsia="en-US"/>
        </w:rPr>
      </w:pPr>
    </w:p>
    <w:p w:rsidR="00796745" w:rsidRPr="00796745" w:rsidRDefault="00796745" w:rsidP="00796745">
      <w:pPr>
        <w:autoSpaceDE/>
        <w:autoSpaceDN/>
        <w:ind w:right="-74"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796745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 xml:space="preserve">Ação rescisória. Atualização de débito trabalhista. Incidência da taxa de juros do cheque especial em substituição à taxa de juros prevista no § 1º do art. 39 da Lei nº 8.177/91. Impossibilidade. </w:t>
      </w:r>
    </w:p>
    <w:p w:rsidR="00796745" w:rsidRPr="00796745" w:rsidRDefault="00796745" w:rsidP="00796745">
      <w:pPr>
        <w:autoSpaceDE/>
        <w:autoSpaceDN/>
        <w:ind w:right="-74"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796745">
        <w:rPr>
          <w:rFonts w:ascii="Times" w:eastAsia="Calibri" w:hAnsi="Times"/>
          <w:sz w:val="24"/>
          <w:szCs w:val="24"/>
          <w:lang w:eastAsia="en-US"/>
        </w:rPr>
        <w:t xml:space="preserve">Os juros de mora incidentes sobre os débitos trabalhistas estão expressamente previstos no art. 39, § 1º, da Lei nº 8.177/91, razão pela qual, ausente qualquer lacuna normativa, não se aplica, na Justiça do Trabalho, a taxa de juros do cheque especial ou a taxa SELIC (art. 406 do CC). Assim, a SBDI-II, por unanimidade, conheceu do recurso ordinário e, no mérito, negou-lhe provimento, mantendo a decisão do TRT que julgara procedente a pretensão rescisória para desconstituir acórdão proferido nos autos de reclamação trabalhista e, em juízo rescisório, determinar a observância da taxa de juros </w:t>
      </w:r>
      <w:r w:rsidRPr="00796745">
        <w:rPr>
          <w:rFonts w:ascii="Times" w:eastAsia="Calibri" w:hAnsi="Times"/>
          <w:sz w:val="24"/>
          <w:szCs w:val="24"/>
          <w:lang w:eastAsia="en-US"/>
        </w:rPr>
        <w:lastRenderedPageBreak/>
        <w:t xml:space="preserve">prevista na Lei nº 8.177/91. </w:t>
      </w:r>
      <w:hyperlink r:id="rId11" w:history="1">
        <w:r w:rsidRPr="00796745">
          <w:rPr>
            <w:rStyle w:val="Hyperlink"/>
            <w:rFonts w:eastAsia="Calibri"/>
            <w:sz w:val="24"/>
            <w:szCs w:val="24"/>
            <w:lang w:eastAsia="en-US"/>
          </w:rPr>
          <w:t>TST-RO-5218-45.2015.5.15.0000 </w:t>
        </w:r>
      </w:hyperlink>
      <w:r w:rsidRPr="00796745">
        <w:rPr>
          <w:rFonts w:eastAsia="Calibri"/>
          <w:sz w:val="24"/>
          <w:szCs w:val="24"/>
          <w:u w:val="single"/>
          <w:lang w:eastAsia="en-US"/>
        </w:rPr>
        <w:t>, SBDI-II, rel. Min Douglas Alencar Rodrigues, 12.4.2016</w:t>
      </w:r>
    </w:p>
    <w:p w:rsidR="00796745" w:rsidRPr="00796745" w:rsidRDefault="00796745" w:rsidP="00796745">
      <w:pPr>
        <w:autoSpaceDE/>
        <w:autoSpaceDN/>
        <w:ind w:right="-74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F907EB" w:rsidRDefault="00F907EB" w:rsidP="00C54185">
      <w:pPr>
        <w:jc w:val="both"/>
        <w:rPr>
          <w:sz w:val="25"/>
          <w:szCs w:val="25"/>
        </w:rPr>
      </w:pPr>
    </w:p>
    <w:p w:rsidR="00F907EB" w:rsidRDefault="00F907EB" w:rsidP="00C54185">
      <w:pPr>
        <w:jc w:val="both"/>
        <w:rPr>
          <w:sz w:val="25"/>
          <w:szCs w:val="25"/>
        </w:rPr>
      </w:pPr>
    </w:p>
    <w:p w:rsidR="00F907EB" w:rsidRPr="00CE7555" w:rsidRDefault="00F907EB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F5" w:rsidRDefault="001648F5">
      <w:r>
        <w:separator/>
      </w:r>
    </w:p>
  </w:endnote>
  <w:endnote w:type="continuationSeparator" w:id="0">
    <w:p w:rsidR="001648F5" w:rsidRDefault="0016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10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910B2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F5" w:rsidRDefault="001648F5">
      <w:r>
        <w:separator/>
      </w:r>
    </w:p>
  </w:footnote>
  <w:footnote w:type="continuationSeparator" w:id="0">
    <w:p w:rsidR="001648F5" w:rsidRDefault="0016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796745">
      <w:rPr>
        <w:shadow/>
        <w:sz w:val="24"/>
        <w:szCs w:val="24"/>
      </w:rPr>
      <w:t>2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796745">
      <w:rPr>
        <w:i/>
        <w:iCs/>
      </w:rPr>
      <w:t xml:space="preserve">5 </w:t>
    </w:r>
    <w:r w:rsidR="00F907EB">
      <w:rPr>
        <w:i/>
        <w:iCs/>
      </w:rPr>
      <w:t>a</w:t>
    </w:r>
    <w:r w:rsidR="00796745">
      <w:rPr>
        <w:i/>
        <w:iCs/>
      </w:rPr>
      <w:t xml:space="preserve"> 18 </w:t>
    </w:r>
    <w:r w:rsidR="00F907EB">
      <w:rPr>
        <w:i/>
        <w:iCs/>
      </w:rPr>
      <w:t xml:space="preserve">de abril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796745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796745">
      <w:rPr>
        <w:i/>
        <w:iCs/>
      </w:rPr>
      <w:t>5</w:t>
    </w:r>
    <w:r w:rsidR="00F907EB">
      <w:rPr>
        <w:i/>
        <w:iCs/>
      </w:rPr>
      <w:t xml:space="preserve"> </w:t>
    </w:r>
    <w:r w:rsidR="00796745">
      <w:rPr>
        <w:i/>
        <w:iCs/>
      </w:rPr>
      <w:t xml:space="preserve">a 18 </w:t>
    </w:r>
    <w:r w:rsidR="00F907EB">
      <w:rPr>
        <w:i/>
        <w:iCs/>
      </w:rPr>
      <w:t>de abril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125E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10B2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E1C53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3064"/>
    <w:rsid w:val="00E04BD5"/>
    <w:rsid w:val="00E070D2"/>
    <w:rsid w:val="00E100F5"/>
    <w:rsid w:val="00E1139A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67&amp;digitoTst=15&amp;anoTst=2012&amp;orgaoTst=5&amp;tribunalTst=01&amp;varaTst=05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5218&amp;digitoTst=45&amp;anoTst=2015&amp;orgaoTst=5&amp;tribunalTst=15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&amp;digitoTst=64&amp;anoTst=2014&amp;orgaoTst=5&amp;tribunalTst=14&amp;varaTst=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07&amp;digitoTst=13&amp;anoTst=2011&amp;orgaoTst=5&amp;tribunalTst=09&amp;varaTst=089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CFF-3168-498E-A659-D173B9D9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8074</CharactersWithSpaces>
  <SharedDoc>false</SharedDoc>
  <HLinks>
    <vt:vector size="24" baseType="variant"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http://aplicacao4.tst.jus.br/consultaProcessual/consultaTstNumUnica.do?consulta=Consultar&amp;conscsjt=&amp;numeroTst=5218&amp;digitoTst=45&amp;anoTst=2015&amp;orgaoTst=5&amp;tribunalTst=15&amp;varaTst=0000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http://aplicacao4.tst.jus.br/consultaProcessual/consultaTstNumUnica.do?consulta=Consultar&amp;conscsjt=&amp;numeroTst=1&amp;digitoTst=64&amp;anoTst=2014&amp;orgaoTst=5&amp;tribunalTst=14&amp;varaTst=0006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http://aplicacao4.tst.jus.br/consultaProcessual/consultaTstNumUnica.do?consulta=Consultar&amp;conscsjt=&amp;numeroTst=1007&amp;digitoTst=13&amp;anoTst=2011&amp;orgaoTst=5&amp;tribunalTst=09&amp;varaTst=0892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http://aplicacao4.tst.jus.br/consultaProcessual/consultaTstNumUnica.do?consulta=Consultar&amp;conscsjt=&amp;numeroTst=67&amp;digitoTst=15&amp;anoTst=2012&amp;orgaoTst=5&amp;tribunalTst=01&amp;varaTst=0511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2016-02-17T19:19:00Z</cp:lastPrinted>
  <dcterms:created xsi:type="dcterms:W3CDTF">2017-05-18T23:09:00Z</dcterms:created>
  <dcterms:modified xsi:type="dcterms:W3CDTF">2017-05-18T23:09:00Z</dcterms:modified>
</cp:coreProperties>
</file>