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CE7555" w:rsidRDefault="00FB20B1">
      <w:pPr>
        <w:rPr>
          <w:sz w:val="25"/>
          <w:szCs w:val="25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E531C9" w:rsidRPr="00E531C9" w:rsidRDefault="00E531C9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0E5C57" w:rsidRPr="00CE7555" w:rsidRDefault="000E5C57" w:rsidP="000E5C57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SEÇÃO ESPECIALIZADA EM DISSÍDIOS </w:t>
      </w:r>
      <w:r w:rsidR="00A903E4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COLETIVOS</w:t>
      </w:r>
    </w:p>
    <w:p w:rsidR="00A903E4" w:rsidRPr="00A903E4" w:rsidRDefault="00A903E4" w:rsidP="00A903E4">
      <w:pPr>
        <w:adjustRightInd w:val="0"/>
        <w:jc w:val="both"/>
        <w:rPr>
          <w:b/>
          <w:i/>
        </w:rPr>
      </w:pPr>
    </w:p>
    <w:p w:rsidR="00A903E4" w:rsidRDefault="00A903E4" w:rsidP="00A903E4">
      <w:pPr>
        <w:adjustRightInd w:val="0"/>
        <w:jc w:val="both"/>
        <w:rPr>
          <w:b/>
          <w:i/>
          <w:sz w:val="24"/>
        </w:rPr>
      </w:pPr>
      <w:r w:rsidRPr="00C444C5">
        <w:rPr>
          <w:b/>
          <w:i/>
          <w:sz w:val="24"/>
        </w:rPr>
        <w:t>A</w:t>
      </w:r>
      <w:r>
        <w:rPr>
          <w:b/>
          <w:i/>
          <w:sz w:val="24"/>
        </w:rPr>
        <w:t>ção declaratória. Participação nos Lucros e Resultados. Afastamento da natureza indenizatória da parcela. Inadequação da via eleita.</w:t>
      </w:r>
    </w:p>
    <w:p w:rsidR="00A903E4" w:rsidRDefault="00A903E4" w:rsidP="00A903E4">
      <w:pPr>
        <w:adjustRightInd w:val="0"/>
        <w:jc w:val="both"/>
        <w:rPr>
          <w:bCs/>
          <w:sz w:val="24"/>
          <w:u w:val="single"/>
        </w:rPr>
      </w:pPr>
      <w:r>
        <w:rPr>
          <w:sz w:val="24"/>
          <w:szCs w:val="24"/>
        </w:rPr>
        <w:t xml:space="preserve">É incabível ação declaratória na hipótese em que o Ministério Público do Trabalho pretende afastar a natureza indenizatória da parcela paga sob o título de Participação nos Lucros e Resultados – PLR, prevista na Cláusula 29º do acordo impugnado, porque em desconformidade com os requisitos da Lei nº 10.101/2000. Na hipótese, registrou-se que o postulado não se coaduna com a ação declaratória, pois não se questiona a interpretação e o alcance da cláusula normativa, nem se invoca dúvida a respeito de seu conteúdo. Ao contrário, o fundamento da ação consiste na desconformidade dos termos da cláusula com a legislação que rege a PLR. Sob esse entendimento, a SDC, por unanimidade, acolhendo a preliminar de inadequação da via eleita, extinguiu o processo sem resolução do mérito. </w:t>
      </w:r>
      <w:hyperlink r:id="rId8" w:history="1">
        <w:r w:rsidRPr="00CE066A">
          <w:rPr>
            <w:rStyle w:val="Hyperlink"/>
            <w:sz w:val="24"/>
          </w:rPr>
          <w:t>TST-RO-38300-81.2013.5.17.0000</w:t>
        </w:r>
      </w:hyperlink>
      <w:r w:rsidRPr="008A6784">
        <w:rPr>
          <w:bCs/>
          <w:sz w:val="24"/>
          <w:u w:val="single"/>
        </w:rPr>
        <w:t>, SD</w:t>
      </w:r>
      <w:r>
        <w:rPr>
          <w:bCs/>
          <w:sz w:val="24"/>
          <w:u w:val="single"/>
        </w:rPr>
        <w:t>C</w:t>
      </w:r>
      <w:r w:rsidRPr="008A6784">
        <w:rPr>
          <w:bCs/>
          <w:sz w:val="24"/>
          <w:u w:val="single"/>
        </w:rPr>
        <w:t xml:space="preserve">, rel. Min. </w:t>
      </w:r>
      <w:r>
        <w:rPr>
          <w:bCs/>
          <w:sz w:val="24"/>
          <w:u w:val="single"/>
        </w:rPr>
        <w:t>Dora Maria da Costa</w:t>
      </w:r>
      <w:r w:rsidRPr="008A6784">
        <w:rPr>
          <w:bCs/>
          <w:sz w:val="24"/>
          <w:u w:val="single"/>
        </w:rPr>
        <w:t>,</w:t>
      </w:r>
      <w:r>
        <w:rPr>
          <w:bCs/>
          <w:sz w:val="24"/>
          <w:u w:val="single"/>
        </w:rPr>
        <w:t xml:space="preserve"> 22</w:t>
      </w:r>
      <w:r w:rsidRPr="008A6784">
        <w:rPr>
          <w:bCs/>
          <w:sz w:val="24"/>
          <w:u w:val="single"/>
        </w:rPr>
        <w:t>.2.2016</w:t>
      </w:r>
    </w:p>
    <w:p w:rsidR="00A903E4" w:rsidRPr="00971E5F" w:rsidRDefault="00A903E4" w:rsidP="007403B3">
      <w:pPr>
        <w:jc w:val="both"/>
        <w:rPr>
          <w:u w:val="single"/>
        </w:rPr>
      </w:pPr>
    </w:p>
    <w:p w:rsidR="000E5C57" w:rsidRPr="00CE7555" w:rsidRDefault="000E5C57" w:rsidP="000E5C57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 ESPECIALIZADA EM DISSÍDIOS INDIVIDUAIS</w:t>
      </w:r>
    </w:p>
    <w:p w:rsidR="000E5C57" w:rsidRPr="00971E5F" w:rsidRDefault="000E5C57" w:rsidP="000E5C57">
      <w:pPr>
        <w:jc w:val="both"/>
        <w:rPr>
          <w:u w:val="single"/>
        </w:rPr>
      </w:pPr>
    </w:p>
    <w:p w:rsidR="00A903E4" w:rsidRDefault="00A903E4" w:rsidP="00A903E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Contribuição sindical p</w:t>
      </w:r>
      <w:r w:rsidRPr="0015342D">
        <w:rPr>
          <w:b/>
          <w:i/>
          <w:sz w:val="24"/>
          <w:szCs w:val="24"/>
        </w:rPr>
        <w:t>atronal.</w:t>
      </w:r>
      <w:r>
        <w:rPr>
          <w:b/>
          <w:i/>
          <w:sz w:val="24"/>
          <w:szCs w:val="24"/>
        </w:rPr>
        <w:t xml:space="preserve"> </w:t>
      </w:r>
      <w:r w:rsidRPr="00EB4D87">
        <w:rPr>
          <w:i/>
          <w:sz w:val="24"/>
          <w:szCs w:val="24"/>
        </w:rPr>
        <w:t>Holding</w:t>
      </w:r>
      <w:r>
        <w:rPr>
          <w:b/>
          <w:i/>
          <w:sz w:val="24"/>
          <w:szCs w:val="24"/>
        </w:rPr>
        <w:t xml:space="preserve"> pura. </w:t>
      </w:r>
      <w:r w:rsidRPr="0015342D">
        <w:rPr>
          <w:b/>
          <w:i/>
          <w:sz w:val="24"/>
          <w:szCs w:val="24"/>
        </w:rPr>
        <w:t xml:space="preserve">Ausência </w:t>
      </w:r>
      <w:r>
        <w:rPr>
          <w:b/>
          <w:i/>
          <w:sz w:val="24"/>
          <w:szCs w:val="24"/>
        </w:rPr>
        <w:t>d</w:t>
      </w:r>
      <w:r w:rsidRPr="0015342D">
        <w:rPr>
          <w:b/>
          <w:i/>
          <w:sz w:val="24"/>
          <w:szCs w:val="24"/>
        </w:rPr>
        <w:t xml:space="preserve">e </w:t>
      </w:r>
      <w:r>
        <w:rPr>
          <w:b/>
          <w:i/>
          <w:sz w:val="24"/>
          <w:szCs w:val="24"/>
        </w:rPr>
        <w:t>e</w:t>
      </w:r>
      <w:r w:rsidRPr="0015342D">
        <w:rPr>
          <w:b/>
          <w:i/>
          <w:sz w:val="24"/>
          <w:szCs w:val="24"/>
        </w:rPr>
        <w:t xml:space="preserve">mpregados. </w:t>
      </w:r>
      <w:r>
        <w:rPr>
          <w:b/>
          <w:i/>
          <w:sz w:val="24"/>
          <w:szCs w:val="24"/>
        </w:rPr>
        <w:t>Não recolhimento.</w:t>
      </w:r>
    </w:p>
    <w:p w:rsidR="00A903E4" w:rsidRDefault="00A903E4" w:rsidP="00A903E4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 w:rsidRPr="00E0644C">
        <w:rPr>
          <w:rFonts w:ascii="Times New Roman" w:hAnsi="Times New Roman" w:cs="Times New Roman"/>
          <w:color w:val="auto"/>
          <w:lang w:val="pt-BR"/>
        </w:rPr>
        <w:t>O sistema sindical brasileiro é fundado na agremiação de trabalhadores em contraposição simétrica a agremiações de empregadores que se unem em razão da defesa de interesses comuns perti</w:t>
      </w:r>
      <w:r w:rsidRPr="00E0644C">
        <w:rPr>
          <w:rFonts w:ascii="Times New Roman" w:hAnsi="Times New Roman"/>
          <w:lang w:val="pt-BR"/>
        </w:rPr>
        <w:t xml:space="preserve">nentes às relações de trabalho. </w:t>
      </w:r>
      <w:r>
        <w:rPr>
          <w:rFonts w:ascii="Times New Roman" w:hAnsi="Times New Roman"/>
          <w:lang w:val="pt-BR"/>
        </w:rPr>
        <w:t>Q</w:t>
      </w:r>
      <w:r w:rsidRPr="00E0644C">
        <w:rPr>
          <w:rFonts w:ascii="Times New Roman" w:hAnsi="Times New Roman" w:cs="Times New Roman"/>
          <w:color w:val="auto"/>
          <w:lang w:val="pt-BR"/>
        </w:rPr>
        <w:t xml:space="preserve">uando o agente econômico não possui empregados, a possibilidade de receber uma contrapartida da entidade sindical que supostamente o representa fica comprometida, colocando um óbice lógico-jurídico à representação pela entidade de classe. </w:t>
      </w:r>
      <w:r>
        <w:rPr>
          <w:rFonts w:ascii="Times New Roman" w:hAnsi="Times New Roman" w:cs="Times New Roman"/>
          <w:color w:val="auto"/>
          <w:lang w:val="pt-BR"/>
        </w:rPr>
        <w:t xml:space="preserve">Em outras palavras, o objetivo das contribuições sindicais é viabilizar o funcionamento do sistema sindical brasileiro e este, por sua vez, busca favorecer o diálogo entre a classe patronal e a de trabalhadores com vistas à fixação das condições de trabalho. Assim, no caso de uma </w:t>
      </w:r>
      <w:r>
        <w:rPr>
          <w:rFonts w:ascii="Times New Roman" w:hAnsi="Times New Roman" w:cs="Times New Roman"/>
          <w:i/>
          <w:color w:val="auto"/>
          <w:lang w:val="pt-BR"/>
        </w:rPr>
        <w:t>holding</w:t>
      </w:r>
      <w:r>
        <w:rPr>
          <w:rFonts w:ascii="Times New Roman" w:hAnsi="Times New Roman" w:cs="Times New Roman"/>
          <w:color w:val="auto"/>
          <w:lang w:val="pt-BR"/>
        </w:rPr>
        <w:t xml:space="preserve"> pura, ou seja,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agente societário dedicado</w:t>
      </w:r>
      <w:r w:rsidRPr="0015342D">
        <w:rPr>
          <w:rFonts w:ascii="Times New Roman" w:eastAsia="Calibri" w:hAnsi="Times New Roman" w:cs="Times New Roman"/>
          <w:color w:val="auto"/>
          <w:lang w:val="pt-BR" w:eastAsia="en-US"/>
        </w:rPr>
        <w:t xml:space="preserve"> à administração de bens e participação em outras sociedades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A03229">
        <w:rPr>
          <w:rFonts w:ascii="Times New Roman" w:eastAsia="Calibri" w:hAnsi="Times New Roman" w:cs="Times New Roman"/>
          <w:color w:val="auto"/>
          <w:lang w:val="pt-BR" w:eastAsia="en-US"/>
        </w:rPr>
        <w:t xml:space="preserve"> sem desempenho de atividades econômicas e sem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a </w:t>
      </w:r>
      <w:r w:rsidRPr="00A03229">
        <w:rPr>
          <w:rFonts w:ascii="Times New Roman" w:eastAsia="Calibri" w:hAnsi="Times New Roman" w:cs="Times New Roman"/>
          <w:color w:val="auto"/>
          <w:lang w:val="pt-BR" w:eastAsia="en-US"/>
        </w:rPr>
        <w:t>contratação de empregados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não se pode exigir o recolhimento da contribuição sindical patronal (interpretação sistemática dos arts. 570, 579 e 580 da CLT e 109 e 114 do CTN). Sob esses fundamentos, a SBDI-I, por unanimidade, conheceu</w:t>
      </w:r>
      <w:r w:rsidRPr="00B65CB1">
        <w:rPr>
          <w:rFonts w:ascii="Times New Roman" w:eastAsia="Calibri" w:hAnsi="Times New Roman" w:cs="Times New Roman"/>
          <w:color w:val="auto"/>
          <w:lang w:val="pt-BR" w:eastAsia="en-US"/>
        </w:rPr>
        <w:t xml:space="preserve"> dos embargos por divergência jurisprudencial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e, no mérito, por maioria, negou</w:t>
      </w:r>
      <w:r w:rsidRPr="00B65CB1">
        <w:rPr>
          <w:rFonts w:ascii="Times New Roman" w:eastAsia="Calibri" w:hAnsi="Times New Roman" w:cs="Times New Roman"/>
          <w:color w:val="auto"/>
          <w:lang w:val="pt-BR" w:eastAsia="en-US"/>
        </w:rPr>
        <w:t>-lhe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s provimento. vencidos os</w:t>
      </w:r>
      <w:r w:rsidRPr="00B65CB1">
        <w:rPr>
          <w:rFonts w:ascii="Times New Roman" w:eastAsia="Calibri" w:hAnsi="Times New Roman" w:cs="Times New Roman"/>
          <w:color w:val="auto"/>
          <w:lang w:val="pt-BR" w:eastAsia="en-US"/>
        </w:rPr>
        <w:t xml:space="preserve"> Ministros Aloysio Corrêa da Veiga, relator, Renato de Lacerda Paiva e Alexandre de Souza Agra Belmonte.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hyperlink r:id="rId9" w:history="1">
        <w:r w:rsidRPr="00CE066A">
          <w:rPr>
            <w:rStyle w:val="Hyperlink"/>
            <w:rFonts w:ascii="Times New Roman" w:eastAsia="Calibri" w:hAnsi="Times New Roman"/>
            <w:lang w:val="pt-BR" w:eastAsia="en-US"/>
          </w:rPr>
          <w:t>TST-E-RR-2058-44.2011.5.03.0078</w:t>
        </w:r>
      </w:hyperlink>
      <w:r w:rsidRPr="0023678E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, SBDI-I, rel. 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Min. </w:t>
      </w:r>
      <w:r w:rsidRPr="0023678E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Aloysio Corrêa da Veiga, red. p/ o acórdão Min. Luiz Philippe Vieira de Mello Filho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18.2.2016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</w:p>
    <w:p w:rsidR="00A903E4" w:rsidRPr="00A903E4" w:rsidRDefault="00A903E4" w:rsidP="00A903E4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lang w:val="pt-BR" w:eastAsia="en-US"/>
        </w:rPr>
      </w:pPr>
    </w:p>
    <w:p w:rsidR="00A903E4" w:rsidRPr="00964DDB" w:rsidRDefault="00A903E4" w:rsidP="00A903E4">
      <w:pPr>
        <w:adjustRightInd w:val="0"/>
        <w:jc w:val="both"/>
        <w:rPr>
          <w:b/>
          <w:bCs/>
          <w:i/>
          <w:iCs/>
          <w:sz w:val="24"/>
          <w:szCs w:val="24"/>
        </w:rPr>
      </w:pPr>
      <w:r w:rsidRPr="00C444C5">
        <w:rPr>
          <w:b/>
          <w:i/>
          <w:sz w:val="24"/>
        </w:rPr>
        <w:t>Agente comunitário de saúde</w:t>
      </w:r>
      <w:r w:rsidRPr="00964DDB">
        <w:rPr>
          <w:b/>
          <w:bCs/>
          <w:i/>
          <w:iCs/>
          <w:sz w:val="24"/>
          <w:szCs w:val="24"/>
        </w:rPr>
        <w:t>. Adicional de insalubridade. Indevido. Não enquadramento da atividade no rol</w:t>
      </w:r>
      <w:r>
        <w:rPr>
          <w:b/>
          <w:bCs/>
          <w:i/>
          <w:iCs/>
          <w:sz w:val="24"/>
          <w:szCs w:val="24"/>
        </w:rPr>
        <w:t xml:space="preserve"> </w:t>
      </w:r>
      <w:r w:rsidRPr="00964DDB">
        <w:rPr>
          <w:b/>
          <w:bCs/>
          <w:i/>
          <w:iCs/>
          <w:sz w:val="24"/>
          <w:szCs w:val="24"/>
        </w:rPr>
        <w:t xml:space="preserve">previsto no Anexo 14 da NR 15 do MTE. </w:t>
      </w:r>
      <w:r w:rsidRPr="00C444C5">
        <w:rPr>
          <w:b/>
          <w:i/>
          <w:sz w:val="24"/>
        </w:rPr>
        <w:t>Súmula</w:t>
      </w:r>
      <w:r>
        <w:rPr>
          <w:b/>
          <w:i/>
          <w:sz w:val="24"/>
        </w:rPr>
        <w:t xml:space="preserve"> nº</w:t>
      </w:r>
      <w:r w:rsidRPr="00C444C5">
        <w:rPr>
          <w:b/>
          <w:i/>
          <w:sz w:val="24"/>
        </w:rPr>
        <w:t xml:space="preserve"> 448</w:t>
      </w:r>
      <w:r>
        <w:rPr>
          <w:b/>
          <w:i/>
          <w:sz w:val="24"/>
        </w:rPr>
        <w:t>, I, do TST</w:t>
      </w:r>
      <w:r w:rsidRPr="00964DDB">
        <w:rPr>
          <w:b/>
          <w:bCs/>
          <w:i/>
          <w:iCs/>
          <w:sz w:val="24"/>
          <w:szCs w:val="24"/>
        </w:rPr>
        <w:t>.</w:t>
      </w:r>
    </w:p>
    <w:p w:rsidR="00A903E4" w:rsidRDefault="00A903E4" w:rsidP="00A903E4">
      <w:pPr>
        <w:adjustRightInd w:val="0"/>
        <w:jc w:val="both"/>
        <w:rPr>
          <w:bCs/>
          <w:sz w:val="24"/>
          <w:u w:val="single"/>
        </w:rPr>
      </w:pPr>
      <w:r>
        <w:rPr>
          <w:sz w:val="24"/>
          <w:szCs w:val="24"/>
        </w:rPr>
        <w:t xml:space="preserve">Conforme preconizado no item </w:t>
      </w:r>
      <w:r w:rsidRPr="00964DDB">
        <w:rPr>
          <w:sz w:val="24"/>
          <w:szCs w:val="24"/>
        </w:rPr>
        <w:t xml:space="preserve">I da </w:t>
      </w:r>
      <w:r>
        <w:rPr>
          <w:sz w:val="24"/>
          <w:szCs w:val="24"/>
        </w:rPr>
        <w:t>Súmula nº 448 do TST,</w:t>
      </w:r>
      <w:r w:rsidRPr="00964DDB">
        <w:rPr>
          <w:sz w:val="24"/>
          <w:szCs w:val="24"/>
        </w:rPr>
        <w:t xml:space="preserve"> para que o</w:t>
      </w:r>
      <w:r>
        <w:rPr>
          <w:sz w:val="24"/>
          <w:szCs w:val="24"/>
        </w:rPr>
        <w:t xml:space="preserve"> </w:t>
      </w:r>
      <w:r w:rsidRPr="00964DDB">
        <w:rPr>
          <w:sz w:val="24"/>
          <w:szCs w:val="24"/>
        </w:rPr>
        <w:t>empregado tenha direito ao adicional de insalubridade é necessária a classificação da atividade</w:t>
      </w:r>
      <w:r>
        <w:rPr>
          <w:sz w:val="24"/>
          <w:szCs w:val="24"/>
        </w:rPr>
        <w:t xml:space="preserve"> </w:t>
      </w:r>
      <w:r w:rsidRPr="00964DDB">
        <w:rPr>
          <w:sz w:val="24"/>
          <w:szCs w:val="24"/>
        </w:rPr>
        <w:t>insalubre na relação oficial elaborada pelo Ministério do Trabalho e Emprego</w:t>
      </w:r>
      <w:r>
        <w:rPr>
          <w:sz w:val="24"/>
          <w:szCs w:val="24"/>
        </w:rPr>
        <w:t xml:space="preserve"> - MTE</w:t>
      </w:r>
      <w:r w:rsidRPr="00964DDB">
        <w:rPr>
          <w:sz w:val="24"/>
          <w:szCs w:val="24"/>
        </w:rPr>
        <w:t>, não sendo suficiente a</w:t>
      </w:r>
      <w:r>
        <w:rPr>
          <w:sz w:val="24"/>
          <w:szCs w:val="24"/>
        </w:rPr>
        <w:t xml:space="preserve"> </w:t>
      </w:r>
      <w:r w:rsidRPr="00964DDB">
        <w:rPr>
          <w:sz w:val="24"/>
          <w:szCs w:val="24"/>
        </w:rPr>
        <w:t xml:space="preserve">constatação </w:t>
      </w:r>
      <w:r>
        <w:rPr>
          <w:sz w:val="24"/>
          <w:szCs w:val="24"/>
        </w:rPr>
        <w:t>via</w:t>
      </w:r>
      <w:r w:rsidRPr="00964DDB">
        <w:rPr>
          <w:sz w:val="24"/>
          <w:szCs w:val="24"/>
        </w:rPr>
        <w:t xml:space="preserve"> laudo pericial. </w:t>
      </w:r>
      <w:r>
        <w:rPr>
          <w:sz w:val="24"/>
          <w:szCs w:val="24"/>
        </w:rPr>
        <w:t>Neste sentido</w:t>
      </w:r>
      <w:r w:rsidRPr="00964DDB">
        <w:rPr>
          <w:sz w:val="24"/>
          <w:szCs w:val="24"/>
        </w:rPr>
        <w:t>, é indevido o adicional de insalubridade aos</w:t>
      </w:r>
      <w:r>
        <w:rPr>
          <w:sz w:val="24"/>
          <w:szCs w:val="24"/>
        </w:rPr>
        <w:t xml:space="preserve"> agentes comunitários de </w:t>
      </w:r>
      <w:r>
        <w:rPr>
          <w:sz w:val="24"/>
          <w:szCs w:val="24"/>
        </w:rPr>
        <w:lastRenderedPageBreak/>
        <w:t>saúde</w:t>
      </w:r>
      <w:r w:rsidRPr="00964DDB"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efetuam atendimento domiciliar para promoção e orientação da saúde e fazem o acompanhamento de pessoas com doenças infectocontagiosas, </w:t>
      </w:r>
      <w:r w:rsidRPr="00964DDB">
        <w:rPr>
          <w:sz w:val="24"/>
          <w:szCs w:val="24"/>
        </w:rPr>
        <w:t xml:space="preserve">uma vez que </w:t>
      </w:r>
      <w:r>
        <w:rPr>
          <w:sz w:val="24"/>
          <w:szCs w:val="24"/>
        </w:rPr>
        <w:t>essas funções</w:t>
      </w:r>
      <w:r w:rsidRPr="00964DDB">
        <w:rPr>
          <w:sz w:val="24"/>
          <w:szCs w:val="24"/>
        </w:rPr>
        <w:t xml:space="preserve"> não se enquadra</w:t>
      </w:r>
      <w:r>
        <w:rPr>
          <w:sz w:val="24"/>
          <w:szCs w:val="24"/>
        </w:rPr>
        <w:t xml:space="preserve">m </w:t>
      </w:r>
      <w:r w:rsidRPr="00964DDB">
        <w:rPr>
          <w:sz w:val="24"/>
          <w:szCs w:val="24"/>
        </w:rPr>
        <w:t xml:space="preserve">no rol taxativo do MTE (Anexo 14 da </w:t>
      </w:r>
      <w:r>
        <w:rPr>
          <w:sz w:val="24"/>
          <w:szCs w:val="24"/>
        </w:rPr>
        <w:t>NR</w:t>
      </w:r>
      <w:r w:rsidRPr="00964DDB">
        <w:rPr>
          <w:sz w:val="24"/>
          <w:szCs w:val="24"/>
        </w:rPr>
        <w:t xml:space="preserve"> 15)</w:t>
      </w:r>
      <w:r>
        <w:rPr>
          <w:sz w:val="24"/>
          <w:szCs w:val="24"/>
        </w:rPr>
        <w:t xml:space="preserve">. Sob esse fundamento, </w:t>
      </w:r>
      <w:r w:rsidRPr="00B4525E">
        <w:rPr>
          <w:sz w:val="24"/>
          <w:szCs w:val="24"/>
        </w:rPr>
        <w:t xml:space="preserve">a SBDI-I, por unanimidade, conheceu dos embargos interpostos pela </w:t>
      </w:r>
      <w:r>
        <w:rPr>
          <w:sz w:val="24"/>
          <w:szCs w:val="24"/>
        </w:rPr>
        <w:t>reclamante, por divergência jurisprudencial, e</w:t>
      </w:r>
      <w:r w:rsidRPr="00B4525E">
        <w:rPr>
          <w:sz w:val="24"/>
          <w:szCs w:val="24"/>
        </w:rPr>
        <w:t>,</w:t>
      </w:r>
      <w:r>
        <w:rPr>
          <w:sz w:val="24"/>
          <w:szCs w:val="24"/>
        </w:rPr>
        <w:t xml:space="preserve"> no mérito, por maioria, negou-lhes provimento. Vencidos os Ministros Augusto César Leite de Carvalho, relator, João Oreste Dalazen, Walmir Oliveira da Costa, José Roberto Freire Pimenta, Hugo Carlos Scheuermann e Cláudio Mascarenhas Brandão. </w:t>
      </w:r>
      <w:hyperlink r:id="rId10" w:history="1">
        <w:r w:rsidRPr="00CE066A">
          <w:rPr>
            <w:rStyle w:val="Hyperlink"/>
            <w:sz w:val="24"/>
          </w:rPr>
          <w:t>TST-E-RR-207000-08.2009.5.04.0231</w:t>
        </w:r>
      </w:hyperlink>
      <w:r w:rsidRPr="008A6784">
        <w:rPr>
          <w:bCs/>
          <w:sz w:val="24"/>
          <w:u w:val="single"/>
        </w:rPr>
        <w:t>, SBDI-I, rel. Min. Augusto César Leite de Carvalho,</w:t>
      </w:r>
      <w:r>
        <w:rPr>
          <w:bCs/>
          <w:sz w:val="24"/>
          <w:u w:val="single"/>
        </w:rPr>
        <w:t xml:space="preserve"> red. p/ acórdão Min. Aloysio Corrêa da Veiga, </w:t>
      </w:r>
      <w:r w:rsidRPr="008A6784">
        <w:rPr>
          <w:bCs/>
          <w:sz w:val="24"/>
          <w:u w:val="single"/>
        </w:rPr>
        <w:t>18.2.2016</w:t>
      </w:r>
    </w:p>
    <w:p w:rsidR="00A903E4" w:rsidRDefault="00A903E4" w:rsidP="00A903E4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</w:p>
    <w:p w:rsidR="00971E5F" w:rsidRDefault="00971E5F" w:rsidP="00C54185">
      <w:pPr>
        <w:jc w:val="both"/>
        <w:rPr>
          <w:sz w:val="25"/>
          <w:szCs w:val="25"/>
        </w:rPr>
      </w:pPr>
    </w:p>
    <w:p w:rsidR="00971E5F" w:rsidRDefault="00971E5F" w:rsidP="00C54185">
      <w:pPr>
        <w:jc w:val="both"/>
        <w:rPr>
          <w:sz w:val="25"/>
          <w:szCs w:val="25"/>
        </w:rPr>
      </w:pPr>
    </w:p>
    <w:p w:rsidR="00971E5F" w:rsidRDefault="00971E5F" w:rsidP="00C54185">
      <w:pPr>
        <w:jc w:val="both"/>
        <w:rPr>
          <w:sz w:val="25"/>
          <w:szCs w:val="25"/>
        </w:rPr>
      </w:pPr>
    </w:p>
    <w:p w:rsidR="00DA54D4" w:rsidRPr="00CE7555" w:rsidRDefault="00DA54D4" w:rsidP="00C54185">
      <w:pPr>
        <w:jc w:val="both"/>
        <w:rPr>
          <w:sz w:val="25"/>
          <w:szCs w:val="25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1B" w:rsidRDefault="00D4021B">
      <w:r>
        <w:separator/>
      </w:r>
    </w:p>
  </w:endnote>
  <w:endnote w:type="continuationSeparator" w:id="0">
    <w:p w:rsidR="00D4021B" w:rsidRDefault="00D4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1CA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711CA0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1B" w:rsidRDefault="00D4021B">
      <w:r>
        <w:separator/>
      </w:r>
    </w:p>
  </w:footnote>
  <w:footnote w:type="continuationSeparator" w:id="0">
    <w:p w:rsidR="00D4021B" w:rsidRDefault="00D40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51600">
      <w:rPr>
        <w:shadow/>
        <w:sz w:val="24"/>
        <w:szCs w:val="24"/>
      </w:rPr>
      <w:t>12</w:t>
    </w:r>
    <w:r w:rsidR="00A903E4">
      <w:rPr>
        <w:shadow/>
        <w:sz w:val="24"/>
        <w:szCs w:val="24"/>
      </w:rPr>
      <w:t>9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494DD1">
      <w:rPr>
        <w:i/>
        <w:iCs/>
      </w:rPr>
      <w:t xml:space="preserve">Período: </w:t>
    </w:r>
    <w:r w:rsidR="000E5C57">
      <w:rPr>
        <w:i/>
        <w:iCs/>
      </w:rPr>
      <w:t>1</w:t>
    </w:r>
    <w:r w:rsidR="00A903E4">
      <w:rPr>
        <w:i/>
        <w:iCs/>
      </w:rPr>
      <w:t xml:space="preserve">6 </w:t>
    </w:r>
    <w:r w:rsidR="00B60670">
      <w:rPr>
        <w:i/>
        <w:iCs/>
      </w:rPr>
      <w:t xml:space="preserve"> a </w:t>
    </w:r>
    <w:r w:rsidR="00A903E4">
      <w:rPr>
        <w:i/>
        <w:iCs/>
      </w:rPr>
      <w:t>22</w:t>
    </w:r>
    <w:r w:rsidR="007403B3">
      <w:rPr>
        <w:i/>
        <w:iCs/>
      </w:rPr>
      <w:t xml:space="preserve"> de </w:t>
    </w:r>
    <w:r w:rsidR="000E5C57">
      <w:rPr>
        <w:i/>
        <w:iCs/>
      </w:rPr>
      <w:t>fevereiro d</w:t>
    </w:r>
    <w:r w:rsidR="00971E5F">
      <w:rPr>
        <w:i/>
        <w:iCs/>
      </w:rPr>
      <w:t>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51600">
      <w:rPr>
        <w:b/>
        <w:sz w:val="40"/>
        <w:szCs w:val="40"/>
      </w:rPr>
      <w:t>12</w:t>
    </w:r>
    <w:r w:rsidR="00A903E4">
      <w:rPr>
        <w:b/>
        <w:sz w:val="40"/>
        <w:szCs w:val="40"/>
      </w:rPr>
      <w:t>9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A903E4">
      <w:rPr>
        <w:i/>
        <w:iCs/>
      </w:rPr>
      <w:t>16 a 22</w:t>
    </w:r>
    <w:r w:rsidR="000E5C57">
      <w:rPr>
        <w:i/>
        <w:iCs/>
      </w:rPr>
      <w:t xml:space="preserve"> de fevereiro </w:t>
    </w:r>
    <w:r w:rsidR="004A094C">
      <w:rPr>
        <w:i/>
        <w:iCs/>
      </w:rPr>
      <w:t>de 201</w:t>
    </w:r>
    <w:r w:rsidR="000E5C57">
      <w:rPr>
        <w:i/>
        <w:iCs/>
      </w:rPr>
      <w:t>6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24CE9"/>
    <w:rsid w:val="00032056"/>
    <w:rsid w:val="000322FB"/>
    <w:rsid w:val="000425FC"/>
    <w:rsid w:val="00050E85"/>
    <w:rsid w:val="00056752"/>
    <w:rsid w:val="0005765E"/>
    <w:rsid w:val="00057B87"/>
    <w:rsid w:val="0006020E"/>
    <w:rsid w:val="000733B4"/>
    <w:rsid w:val="00073880"/>
    <w:rsid w:val="00075BDB"/>
    <w:rsid w:val="00080F10"/>
    <w:rsid w:val="000858FB"/>
    <w:rsid w:val="0009237D"/>
    <w:rsid w:val="00093AE9"/>
    <w:rsid w:val="00093BA8"/>
    <w:rsid w:val="000A04E6"/>
    <w:rsid w:val="000A4C94"/>
    <w:rsid w:val="000B2973"/>
    <w:rsid w:val="000B4D41"/>
    <w:rsid w:val="000B67DF"/>
    <w:rsid w:val="000B7CDE"/>
    <w:rsid w:val="000C3022"/>
    <w:rsid w:val="000C58F4"/>
    <w:rsid w:val="000C5AC6"/>
    <w:rsid w:val="000C672B"/>
    <w:rsid w:val="000E0A91"/>
    <w:rsid w:val="000E1DC1"/>
    <w:rsid w:val="000E5C57"/>
    <w:rsid w:val="000E7CBE"/>
    <w:rsid w:val="0011575C"/>
    <w:rsid w:val="0011692E"/>
    <w:rsid w:val="00137564"/>
    <w:rsid w:val="00137DC1"/>
    <w:rsid w:val="00141630"/>
    <w:rsid w:val="00142C28"/>
    <w:rsid w:val="0015612D"/>
    <w:rsid w:val="00161CDE"/>
    <w:rsid w:val="00163142"/>
    <w:rsid w:val="00176D15"/>
    <w:rsid w:val="00183803"/>
    <w:rsid w:val="00184590"/>
    <w:rsid w:val="00187A37"/>
    <w:rsid w:val="0019151D"/>
    <w:rsid w:val="00193208"/>
    <w:rsid w:val="00197B15"/>
    <w:rsid w:val="001C04D2"/>
    <w:rsid w:val="001C21FB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E79B4"/>
    <w:rsid w:val="001F030F"/>
    <w:rsid w:val="001F45E0"/>
    <w:rsid w:val="00204C97"/>
    <w:rsid w:val="00206810"/>
    <w:rsid w:val="002168DE"/>
    <w:rsid w:val="00224AC2"/>
    <w:rsid w:val="0023559D"/>
    <w:rsid w:val="002402B0"/>
    <w:rsid w:val="002449F9"/>
    <w:rsid w:val="00255732"/>
    <w:rsid w:val="00257B4A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3397A"/>
    <w:rsid w:val="00340E8D"/>
    <w:rsid w:val="00342846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6053"/>
    <w:rsid w:val="003A1F0A"/>
    <w:rsid w:val="003A4086"/>
    <w:rsid w:val="003A5E5B"/>
    <w:rsid w:val="003B045C"/>
    <w:rsid w:val="003B0538"/>
    <w:rsid w:val="003B0A59"/>
    <w:rsid w:val="003B3EB5"/>
    <w:rsid w:val="003B4E23"/>
    <w:rsid w:val="003B767E"/>
    <w:rsid w:val="003C0554"/>
    <w:rsid w:val="003C1AB7"/>
    <w:rsid w:val="003C6FE7"/>
    <w:rsid w:val="003D032E"/>
    <w:rsid w:val="003D4205"/>
    <w:rsid w:val="003F2078"/>
    <w:rsid w:val="0042772A"/>
    <w:rsid w:val="004323B0"/>
    <w:rsid w:val="00444E88"/>
    <w:rsid w:val="004477EC"/>
    <w:rsid w:val="00450BAD"/>
    <w:rsid w:val="0045657C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FC"/>
    <w:rsid w:val="004A5264"/>
    <w:rsid w:val="004A5908"/>
    <w:rsid w:val="004A7C59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0B1B"/>
    <w:rsid w:val="0070727E"/>
    <w:rsid w:val="00710D3A"/>
    <w:rsid w:val="00711CA0"/>
    <w:rsid w:val="0071315F"/>
    <w:rsid w:val="00721942"/>
    <w:rsid w:val="00722BE7"/>
    <w:rsid w:val="00732DF2"/>
    <w:rsid w:val="007403B3"/>
    <w:rsid w:val="007614F1"/>
    <w:rsid w:val="007618C5"/>
    <w:rsid w:val="00764066"/>
    <w:rsid w:val="00766B7B"/>
    <w:rsid w:val="00776118"/>
    <w:rsid w:val="00781C77"/>
    <w:rsid w:val="007B0F83"/>
    <w:rsid w:val="007C0A4F"/>
    <w:rsid w:val="007D29A1"/>
    <w:rsid w:val="007D469A"/>
    <w:rsid w:val="007E0EA7"/>
    <w:rsid w:val="007E3F23"/>
    <w:rsid w:val="007F142E"/>
    <w:rsid w:val="007F66BC"/>
    <w:rsid w:val="007F7B5E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5559"/>
    <w:rsid w:val="00854DB8"/>
    <w:rsid w:val="00854EF2"/>
    <w:rsid w:val="008622CF"/>
    <w:rsid w:val="008627C6"/>
    <w:rsid w:val="00863B86"/>
    <w:rsid w:val="00871F69"/>
    <w:rsid w:val="008842D0"/>
    <w:rsid w:val="00884AC4"/>
    <w:rsid w:val="0088579D"/>
    <w:rsid w:val="008A4AFF"/>
    <w:rsid w:val="008A68E7"/>
    <w:rsid w:val="008A7953"/>
    <w:rsid w:val="008B3081"/>
    <w:rsid w:val="008B32D4"/>
    <w:rsid w:val="008C7AD0"/>
    <w:rsid w:val="008D0020"/>
    <w:rsid w:val="008D3C38"/>
    <w:rsid w:val="008D3C4B"/>
    <w:rsid w:val="008D6A05"/>
    <w:rsid w:val="008E2AE5"/>
    <w:rsid w:val="008E3F89"/>
    <w:rsid w:val="008F26CB"/>
    <w:rsid w:val="008F6509"/>
    <w:rsid w:val="008F79D9"/>
    <w:rsid w:val="009027C8"/>
    <w:rsid w:val="00922D1B"/>
    <w:rsid w:val="0093467A"/>
    <w:rsid w:val="009353F1"/>
    <w:rsid w:val="0094155C"/>
    <w:rsid w:val="00951531"/>
    <w:rsid w:val="00960A3B"/>
    <w:rsid w:val="0096375C"/>
    <w:rsid w:val="00967DE0"/>
    <w:rsid w:val="00971E07"/>
    <w:rsid w:val="00971E5F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0D70"/>
    <w:rsid w:val="00A00DEE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03E4"/>
    <w:rsid w:val="00A91181"/>
    <w:rsid w:val="00A935AC"/>
    <w:rsid w:val="00AA3DE0"/>
    <w:rsid w:val="00AB299E"/>
    <w:rsid w:val="00AB507C"/>
    <w:rsid w:val="00AC096E"/>
    <w:rsid w:val="00AD6E76"/>
    <w:rsid w:val="00AE3EAA"/>
    <w:rsid w:val="00AE5EDF"/>
    <w:rsid w:val="00AE758A"/>
    <w:rsid w:val="00B06261"/>
    <w:rsid w:val="00B12273"/>
    <w:rsid w:val="00B14F7F"/>
    <w:rsid w:val="00B16EB9"/>
    <w:rsid w:val="00B22F24"/>
    <w:rsid w:val="00B22F53"/>
    <w:rsid w:val="00B24DBE"/>
    <w:rsid w:val="00B34EB2"/>
    <w:rsid w:val="00B4728A"/>
    <w:rsid w:val="00B517C3"/>
    <w:rsid w:val="00B518B2"/>
    <w:rsid w:val="00B526EA"/>
    <w:rsid w:val="00B536FE"/>
    <w:rsid w:val="00B60670"/>
    <w:rsid w:val="00B73FFA"/>
    <w:rsid w:val="00B74A6E"/>
    <w:rsid w:val="00B82CC4"/>
    <w:rsid w:val="00B838C3"/>
    <w:rsid w:val="00B874F1"/>
    <w:rsid w:val="00BC1DE7"/>
    <w:rsid w:val="00BC2C67"/>
    <w:rsid w:val="00BC54BC"/>
    <w:rsid w:val="00BC5AEE"/>
    <w:rsid w:val="00BD2A95"/>
    <w:rsid w:val="00BD2CA9"/>
    <w:rsid w:val="00BD6029"/>
    <w:rsid w:val="00BE0541"/>
    <w:rsid w:val="00BE1ADB"/>
    <w:rsid w:val="00BF0693"/>
    <w:rsid w:val="00C070DE"/>
    <w:rsid w:val="00C26DFB"/>
    <w:rsid w:val="00C273FA"/>
    <w:rsid w:val="00C30D06"/>
    <w:rsid w:val="00C42067"/>
    <w:rsid w:val="00C432D0"/>
    <w:rsid w:val="00C4398E"/>
    <w:rsid w:val="00C51600"/>
    <w:rsid w:val="00C54185"/>
    <w:rsid w:val="00C57E92"/>
    <w:rsid w:val="00C60B4A"/>
    <w:rsid w:val="00C65BDB"/>
    <w:rsid w:val="00C66C95"/>
    <w:rsid w:val="00C71A3B"/>
    <w:rsid w:val="00C76CFA"/>
    <w:rsid w:val="00C819C8"/>
    <w:rsid w:val="00C87D5B"/>
    <w:rsid w:val="00C963F8"/>
    <w:rsid w:val="00C96BB1"/>
    <w:rsid w:val="00CA2F80"/>
    <w:rsid w:val="00CA3ECF"/>
    <w:rsid w:val="00CB0C2A"/>
    <w:rsid w:val="00CB3B98"/>
    <w:rsid w:val="00CC4B2B"/>
    <w:rsid w:val="00CC579C"/>
    <w:rsid w:val="00CC5F5F"/>
    <w:rsid w:val="00CC6BEC"/>
    <w:rsid w:val="00CC743B"/>
    <w:rsid w:val="00CD3460"/>
    <w:rsid w:val="00CD44C9"/>
    <w:rsid w:val="00CD4B61"/>
    <w:rsid w:val="00CD5043"/>
    <w:rsid w:val="00CE066A"/>
    <w:rsid w:val="00CE2928"/>
    <w:rsid w:val="00CE314A"/>
    <w:rsid w:val="00CE5865"/>
    <w:rsid w:val="00CE7555"/>
    <w:rsid w:val="00CF3D9D"/>
    <w:rsid w:val="00D01C50"/>
    <w:rsid w:val="00D11B24"/>
    <w:rsid w:val="00D11C18"/>
    <w:rsid w:val="00D133C8"/>
    <w:rsid w:val="00D14DB8"/>
    <w:rsid w:val="00D17339"/>
    <w:rsid w:val="00D244D5"/>
    <w:rsid w:val="00D2776A"/>
    <w:rsid w:val="00D4021B"/>
    <w:rsid w:val="00D413DB"/>
    <w:rsid w:val="00D420E2"/>
    <w:rsid w:val="00D4459D"/>
    <w:rsid w:val="00D573F9"/>
    <w:rsid w:val="00D6058B"/>
    <w:rsid w:val="00D608E5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87489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D19F4"/>
    <w:rsid w:val="00DD3FA0"/>
    <w:rsid w:val="00DE5B2D"/>
    <w:rsid w:val="00DE5CE9"/>
    <w:rsid w:val="00E03064"/>
    <w:rsid w:val="00E04BD5"/>
    <w:rsid w:val="00E070D2"/>
    <w:rsid w:val="00E100F5"/>
    <w:rsid w:val="00E1139A"/>
    <w:rsid w:val="00E1539C"/>
    <w:rsid w:val="00E162B6"/>
    <w:rsid w:val="00E16E01"/>
    <w:rsid w:val="00E24A50"/>
    <w:rsid w:val="00E31469"/>
    <w:rsid w:val="00E35639"/>
    <w:rsid w:val="00E432CC"/>
    <w:rsid w:val="00E50711"/>
    <w:rsid w:val="00E52522"/>
    <w:rsid w:val="00E531C9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1A70"/>
    <w:rsid w:val="00F26708"/>
    <w:rsid w:val="00F30FF2"/>
    <w:rsid w:val="00F45608"/>
    <w:rsid w:val="00F511EE"/>
    <w:rsid w:val="00F55574"/>
    <w:rsid w:val="00F558E7"/>
    <w:rsid w:val="00F62016"/>
    <w:rsid w:val="00F63F44"/>
    <w:rsid w:val="00F6746D"/>
    <w:rsid w:val="00F811CD"/>
    <w:rsid w:val="00F82D8F"/>
    <w:rsid w:val="00F83F62"/>
    <w:rsid w:val="00F9711D"/>
    <w:rsid w:val="00FA011F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38300&amp;digitoTst=81&amp;anoTst=2013&amp;orgaoTst=5&amp;tribunalTst=17&amp;varaTst=000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icacao4.tst.jus.br/consultaProcessual/consultaTstNumUnica.do?consulta=Consultar&amp;conscsjt=&amp;numeroTst=207000&amp;digitoTst=08&amp;anoTst=2009&amp;orgaoTst=5&amp;tribunalTst=04&amp;varaTst=0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2058&amp;digitoTst=44&amp;anoTst=2011&amp;orgaoTst=5&amp;tribunalTst=03&amp;varaTst=007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85F6-3E1C-4F6B-944D-69F18000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5050</CharactersWithSpaces>
  <SharedDoc>false</SharedDoc>
  <HLinks>
    <vt:vector size="18" baseType="variant">
      <vt:variant>
        <vt:i4>1048641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http://aplicacao4.tst.jus.br/consultaProcessual/consultaTstNumUnica.do?consulta=Consultar&amp;conscsjt=&amp;numeroTst=207000&amp;digitoTst=08&amp;anoTst=2009&amp;orgaoTst=5&amp;tribunalTst=04&amp;varaTst=0231</vt:lpwstr>
      </vt:variant>
      <vt:variant>
        <vt:lpwstr/>
      </vt:variant>
      <vt:variant>
        <vt:i4>2490484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http://aplicacao4.tst.jus.br/consultaProcessual/consultaTstNumUnica.do?consulta=Consultar&amp;conscsjt=&amp;numeroTst=2058&amp;digitoTst=44&amp;anoTst=2011&amp;orgaoTst=5&amp;tribunalTst=03&amp;varaTst=0078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http://aplicacao4.tst.jus.br/consultaProcessual/consultaTstNumUnica.do?consulta=Consultar&amp;conscsjt=&amp;numeroTst=38300&amp;digitoTst=81&amp;anoTst=2013&amp;orgaoTst=5&amp;tribunalTst=17&amp;varaTst=0000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2016-02-17T19:19:00Z</cp:lastPrinted>
  <dcterms:created xsi:type="dcterms:W3CDTF">2017-05-18T23:09:00Z</dcterms:created>
  <dcterms:modified xsi:type="dcterms:W3CDTF">2017-05-18T23:09:00Z</dcterms:modified>
</cp:coreProperties>
</file>