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1A7589" w:rsidRPr="003509A3" w:rsidTr="00430087">
        <w:trPr>
          <w:trHeight w:val="537"/>
        </w:trPr>
        <w:tc>
          <w:tcPr>
            <w:tcW w:w="9782" w:type="dxa"/>
            <w:tcBorders>
              <w:top w:val="single" w:sz="4" w:space="0" w:color="auto"/>
            </w:tcBorders>
          </w:tcPr>
          <w:p w:rsidR="001A7589" w:rsidRPr="003509A3" w:rsidRDefault="001A7589" w:rsidP="00430087">
            <w:pPr>
              <w:pStyle w:val="Cabealho"/>
              <w:tabs>
                <w:tab w:val="clear" w:pos="4419"/>
                <w:tab w:val="clear" w:pos="8838"/>
              </w:tabs>
              <w:ind w:left="-70" w:right="-70"/>
              <w:jc w:val="both"/>
              <w:rPr>
                <w:rFonts w:ascii="Open Sans" w:hAnsi="Open Sans" w:cs="Open Sans"/>
              </w:rPr>
            </w:pPr>
            <w:r w:rsidRPr="003509A3">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tc>
      </w:tr>
    </w:tbl>
    <w:p w:rsidR="007204D6" w:rsidRPr="003E0231" w:rsidRDefault="007204D6" w:rsidP="007204D6">
      <w:pPr>
        <w:pStyle w:val="Identificao"/>
        <w:rPr>
          <w:rFonts w:ascii="Open Sans" w:hAnsi="Open Sans" w:cs="Open Sans"/>
          <w:lang w:val="pt-BR"/>
        </w:rPr>
      </w:pPr>
    </w:p>
    <w:p w:rsidR="007204D6" w:rsidRPr="003E0231" w:rsidRDefault="007204D6" w:rsidP="007204D6">
      <w:pPr>
        <w:pStyle w:val="Corpo"/>
        <w:pBdr>
          <w:top w:val="single" w:sz="4" w:space="1" w:color="auto"/>
          <w:left w:val="single" w:sz="4" w:space="4" w:color="auto"/>
          <w:bottom w:val="single" w:sz="4" w:space="1" w:color="auto"/>
          <w:right w:val="single" w:sz="4" w:space="1" w:color="auto"/>
        </w:pBdr>
        <w:shd w:val="solid" w:color="B8CCE4" w:fill="B8CCE4"/>
        <w:tabs>
          <w:tab w:val="center" w:pos="4819"/>
          <w:tab w:val="left" w:pos="6759"/>
          <w:tab w:val="left" w:pos="9498"/>
        </w:tabs>
        <w:spacing w:line="240" w:lineRule="auto"/>
        <w:ind w:left="-142" w:right="368"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 xml:space="preserve">SUBSEÇÃO </w:t>
      </w:r>
      <w:r>
        <w:rPr>
          <w:rFonts w:ascii="Open Sans" w:hAnsi="Open Sans" w:cs="Open Sans"/>
          <w:b/>
          <w:bCs/>
          <w:iCs/>
          <w:sz w:val="28"/>
          <w:szCs w:val="28"/>
          <w:lang w:val="pt-BR"/>
        </w:rPr>
        <w:t>I</w:t>
      </w:r>
      <w:r w:rsidRPr="003509A3">
        <w:rPr>
          <w:rFonts w:ascii="Open Sans" w:hAnsi="Open Sans" w:cs="Open Sans"/>
          <w:b/>
          <w:bCs/>
          <w:iCs/>
          <w:sz w:val="28"/>
          <w:szCs w:val="28"/>
          <w:lang w:val="pt-BR"/>
        </w:rPr>
        <w:t xml:space="preserve"> ESPECIALIZADA EM DISSÍDIOS INDIVIDUAIS</w:t>
      </w:r>
    </w:p>
    <w:p w:rsidR="007204D6" w:rsidRPr="007204D6" w:rsidRDefault="007204D6" w:rsidP="007204D6">
      <w:pPr>
        <w:pStyle w:val="Identificao"/>
        <w:ind w:left="-284" w:right="367"/>
        <w:rPr>
          <w:rFonts w:ascii="Open Sans" w:hAnsi="Open Sans" w:cs="Open Sans"/>
          <w:lang w:val="pt-BR"/>
        </w:rPr>
      </w:pPr>
    </w:p>
    <w:p w:rsidR="007204D6" w:rsidRPr="007204D6" w:rsidRDefault="007204D6" w:rsidP="007204D6">
      <w:pPr>
        <w:ind w:left="-284" w:right="367"/>
        <w:jc w:val="both"/>
        <w:rPr>
          <w:rFonts w:ascii="Open Sans" w:hAnsi="Open Sans" w:cs="Open Sans"/>
          <w:b/>
          <w:i/>
          <w:sz w:val="24"/>
          <w:szCs w:val="24"/>
        </w:rPr>
      </w:pPr>
      <w:r w:rsidRPr="007204D6">
        <w:rPr>
          <w:rFonts w:ascii="Open Sans" w:hAnsi="Open Sans" w:cs="Open Sans"/>
          <w:b/>
          <w:i/>
          <w:sz w:val="24"/>
          <w:szCs w:val="24"/>
        </w:rPr>
        <w:t xml:space="preserve">Dispensa discriminatória. Presunção. Doença grave. Neoplasia prostática. Ônus da Prova </w:t>
      </w:r>
    </w:p>
    <w:p w:rsidR="007204D6" w:rsidRPr="007204D6" w:rsidRDefault="007204D6" w:rsidP="007204D6">
      <w:pPr>
        <w:ind w:left="-284" w:right="367"/>
        <w:jc w:val="both"/>
        <w:rPr>
          <w:rFonts w:ascii="Open Sans" w:hAnsi="Open Sans" w:cs="Open Sans"/>
          <w:color w:val="000000"/>
          <w:sz w:val="24"/>
          <w:szCs w:val="24"/>
          <w:u w:val="single"/>
        </w:rPr>
      </w:pPr>
      <w:r w:rsidRPr="007204D6">
        <w:rPr>
          <w:rFonts w:ascii="Open Sans" w:hAnsi="Open Sans" w:cs="Open Sans"/>
          <w:color w:val="000000"/>
          <w:sz w:val="24"/>
          <w:szCs w:val="24"/>
        </w:rPr>
        <w:t xml:space="preserve">De acordo com a jurisprudência da SBDI-I, </w:t>
      </w:r>
      <w:r w:rsidRPr="007204D6">
        <w:rPr>
          <w:rFonts w:ascii="Open Sans" w:hAnsi="Open Sans" w:cs="Open Sans"/>
          <w:sz w:val="24"/>
          <w:szCs w:val="24"/>
        </w:rPr>
        <w:t>a neoplasia prostática é doença grave que causa estigma, de modo a possibilitar a aplicação da presunção da dispensa discriminatória prevista na Súmula nº 443 do TST. Dentro desse contexto, recai sobre a empregadora o ônus de provar que</w:t>
      </w:r>
      <w:r w:rsidRPr="007204D6">
        <w:rPr>
          <w:rFonts w:ascii="Open Sans" w:hAnsi="Open Sans" w:cs="Open Sans"/>
          <w:color w:val="000000"/>
          <w:sz w:val="24"/>
          <w:szCs w:val="24"/>
        </w:rPr>
        <w:t xml:space="preserve"> não houve motivação direta ou indireta com a enfermidade no ato de dispensa do empregado. Sob esses fundamentos, a SBDI-I, por maioria, vencidos os Ministros Guilherme Augusto Caputo Bastos e Alexandre Luiz Ramos, negou provimento ao Agravo em Embargos em Embargos de Declaração em Recurso de Revista com Agravo, mantendo o acórdão da 6ª Turma que reformou a decisão oriunda do Tribunal Regional do Trabalho da 15ª Região, que havia atribuído ao reclamante o ônus de provar que a sua dispensa teria sido discriminatória. </w:t>
      </w:r>
      <w:hyperlink r:id="rId8" w:history="1">
        <w:r w:rsidRPr="007204D6">
          <w:rPr>
            <w:rFonts w:ascii="Open Sans" w:hAnsi="Open Sans" w:cs="Open Sans"/>
            <w:color w:val="0000FF"/>
            <w:sz w:val="24"/>
            <w:szCs w:val="24"/>
            <w:u w:val="single"/>
          </w:rPr>
          <w:t>TST-Ag-E-ED-ARR-11595-12.2014.5.15.0018</w:t>
        </w:r>
      </w:hyperlink>
      <w:r w:rsidRPr="007204D6">
        <w:rPr>
          <w:rFonts w:ascii="Open Sans" w:hAnsi="Open Sans" w:cs="Open Sans"/>
          <w:color w:val="000000"/>
          <w:sz w:val="24"/>
          <w:szCs w:val="24"/>
          <w:u w:val="single"/>
        </w:rPr>
        <w:t>, SBDI-I, rel. Min. Cláudio Mascarenhas Brandão, julgado em 10/11/2022.</w:t>
      </w:r>
    </w:p>
    <w:p w:rsidR="007204D6" w:rsidRDefault="007204D6" w:rsidP="007204D6">
      <w:pPr>
        <w:pStyle w:val="Identificao"/>
        <w:ind w:left="-284" w:right="367"/>
        <w:rPr>
          <w:rFonts w:ascii="Open Sans" w:hAnsi="Open Sans" w:cs="Open Sans"/>
          <w:lang w:val="pt-BR"/>
        </w:rPr>
      </w:pPr>
    </w:p>
    <w:p w:rsidR="007204D6" w:rsidRPr="007204D6" w:rsidRDefault="007204D6" w:rsidP="007204D6">
      <w:pPr>
        <w:ind w:left="-284" w:right="367"/>
        <w:jc w:val="both"/>
        <w:rPr>
          <w:rFonts w:ascii="Open Sans" w:hAnsi="Open Sans" w:cs="Open Sans"/>
          <w:b/>
          <w:i/>
          <w:sz w:val="24"/>
          <w:szCs w:val="24"/>
        </w:rPr>
      </w:pPr>
      <w:r w:rsidRPr="007204D6">
        <w:rPr>
          <w:rFonts w:ascii="Open Sans" w:hAnsi="Open Sans" w:cs="Open Sans"/>
          <w:b/>
          <w:i/>
          <w:sz w:val="24"/>
          <w:szCs w:val="24"/>
        </w:rPr>
        <w:t>Registro sindical. Discussão acerca da representatividade da categoria. Servidor público estatutário. Incompetência da Justiça do Trabalho</w:t>
      </w:r>
    </w:p>
    <w:p w:rsidR="007204D6" w:rsidRPr="007204D6" w:rsidRDefault="007204D6" w:rsidP="007204D6">
      <w:pPr>
        <w:ind w:left="-284" w:right="367"/>
        <w:jc w:val="both"/>
        <w:rPr>
          <w:rFonts w:ascii="Open Sans" w:hAnsi="Open Sans" w:cs="Open Sans"/>
          <w:b/>
          <w:color w:val="000000"/>
          <w:sz w:val="24"/>
          <w:szCs w:val="24"/>
        </w:rPr>
      </w:pPr>
      <w:r w:rsidRPr="007204D6">
        <w:rPr>
          <w:rFonts w:ascii="Open Sans" w:hAnsi="Open Sans" w:cs="Open Sans"/>
          <w:color w:val="000000"/>
          <w:sz w:val="24"/>
          <w:szCs w:val="24"/>
        </w:rPr>
        <w:t xml:space="preserve">De acordo com a tese fixada pelo STF, no julgamento do RE 1089282, “compete à Justiça comum processar e julgar demandas em que se discute o recolhimento e o repasse de contribuição </w:t>
      </w:r>
      <w:proofErr w:type="gramStart"/>
      <w:r w:rsidRPr="007204D6">
        <w:rPr>
          <w:rFonts w:ascii="Open Sans" w:hAnsi="Open Sans" w:cs="Open Sans"/>
          <w:color w:val="000000"/>
          <w:sz w:val="24"/>
          <w:szCs w:val="24"/>
        </w:rPr>
        <w:t>sindical de servidores públicos regidos pelo regime estatutário”</w:t>
      </w:r>
      <w:proofErr w:type="gramEnd"/>
      <w:r w:rsidRPr="007204D6">
        <w:rPr>
          <w:rFonts w:ascii="Open Sans" w:hAnsi="Open Sans" w:cs="Open Sans"/>
          <w:color w:val="000000"/>
          <w:sz w:val="24"/>
          <w:szCs w:val="24"/>
        </w:rPr>
        <w:t xml:space="preserve"> (Tema 994 da Tabela de Repercussão Geral)</w:t>
      </w:r>
      <w:r w:rsidRPr="007204D6">
        <w:rPr>
          <w:rFonts w:ascii="Open Sans" w:hAnsi="Open Sans" w:cs="Open Sans"/>
          <w:sz w:val="24"/>
          <w:szCs w:val="24"/>
        </w:rPr>
        <w:t xml:space="preserve">. </w:t>
      </w:r>
      <w:r w:rsidRPr="007204D6">
        <w:rPr>
          <w:rFonts w:ascii="Open Sans" w:hAnsi="Open Sans" w:cs="Open Sans"/>
          <w:color w:val="000000"/>
          <w:sz w:val="24"/>
          <w:szCs w:val="24"/>
        </w:rPr>
        <w:t>Sob esses fundamentos, a SBDI-I, por unanimidade, não conheceu do recurso de embargos, compreendendo que tal entendimento</w:t>
      </w:r>
      <w:r w:rsidRPr="007204D6">
        <w:rPr>
          <w:rFonts w:ascii="Open Sans" w:hAnsi="Open Sans" w:cs="Open Sans"/>
          <w:sz w:val="24"/>
          <w:szCs w:val="24"/>
        </w:rPr>
        <w:t xml:space="preserve"> também alcança as lides envolvendo especificamente a representatividade da categoria dos servidores públicos </w:t>
      </w:r>
      <w:proofErr w:type="gramStart"/>
      <w:r w:rsidRPr="007204D6">
        <w:rPr>
          <w:rFonts w:ascii="Open Sans" w:hAnsi="Open Sans" w:cs="Open Sans"/>
          <w:sz w:val="24"/>
          <w:szCs w:val="24"/>
        </w:rPr>
        <w:t>estatutários</w:t>
      </w:r>
      <w:proofErr w:type="gramEnd"/>
      <w:r w:rsidRPr="007204D6">
        <w:rPr>
          <w:rFonts w:ascii="Open Sans" w:hAnsi="Open Sans" w:cs="Open Sans"/>
          <w:color w:val="000000"/>
          <w:sz w:val="24"/>
          <w:szCs w:val="24"/>
        </w:rPr>
        <w:t xml:space="preserve">. </w:t>
      </w:r>
      <w:hyperlink r:id="rId9" w:history="1">
        <w:r w:rsidRPr="007204D6">
          <w:rPr>
            <w:rFonts w:ascii="Open Sans" w:hAnsi="Open Sans" w:cs="Open Sans"/>
            <w:color w:val="0000FF"/>
            <w:sz w:val="24"/>
            <w:szCs w:val="24"/>
            <w:u w:val="single"/>
          </w:rPr>
          <w:t>TST-E-ED-RR-546-08.2015.5.10.0008</w:t>
        </w:r>
      </w:hyperlink>
      <w:r w:rsidRPr="007204D6">
        <w:rPr>
          <w:rFonts w:ascii="Open Sans" w:hAnsi="Open Sans" w:cs="Open Sans"/>
          <w:color w:val="000000"/>
          <w:sz w:val="24"/>
          <w:szCs w:val="24"/>
          <w:u w:val="single"/>
        </w:rPr>
        <w:t>, SBDI-I, rel. Min. Breno Medeiros, julgado em 10/11/2022.</w:t>
      </w:r>
    </w:p>
    <w:p w:rsidR="007204D6" w:rsidRPr="007204D6" w:rsidRDefault="007204D6" w:rsidP="007204D6">
      <w:pPr>
        <w:pStyle w:val="Identificao"/>
        <w:ind w:left="-284" w:right="367"/>
        <w:rPr>
          <w:rFonts w:ascii="Open Sans" w:hAnsi="Open Sans" w:cs="Open Sans"/>
          <w:lang w:val="pt-BR"/>
        </w:rPr>
      </w:pPr>
    </w:p>
    <w:p w:rsidR="001A7589" w:rsidRPr="003E0231" w:rsidRDefault="001A7589" w:rsidP="001A7589">
      <w:pPr>
        <w:pStyle w:val="Corpo"/>
        <w:pBdr>
          <w:top w:val="single" w:sz="4" w:space="1" w:color="auto"/>
          <w:left w:val="single" w:sz="4" w:space="4" w:color="auto"/>
          <w:bottom w:val="single" w:sz="4" w:space="1" w:color="auto"/>
          <w:right w:val="single" w:sz="4" w:space="1" w:color="auto"/>
        </w:pBdr>
        <w:shd w:val="solid" w:color="B8CCE4" w:fill="B8CCE4"/>
        <w:tabs>
          <w:tab w:val="center" w:pos="4819"/>
          <w:tab w:val="left" w:pos="6759"/>
          <w:tab w:val="left" w:pos="9498"/>
        </w:tabs>
        <w:spacing w:line="240" w:lineRule="auto"/>
        <w:ind w:left="-142" w:right="368"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lastRenderedPageBreak/>
        <w:t xml:space="preserve">SUBSEÇÃO </w:t>
      </w:r>
      <w:r>
        <w:rPr>
          <w:rFonts w:ascii="Open Sans" w:hAnsi="Open Sans" w:cs="Open Sans"/>
          <w:b/>
          <w:bCs/>
          <w:iCs/>
          <w:sz w:val="28"/>
          <w:szCs w:val="28"/>
          <w:lang w:val="pt-BR"/>
        </w:rPr>
        <w:t>I</w:t>
      </w:r>
      <w:r w:rsidRPr="003509A3">
        <w:rPr>
          <w:rFonts w:ascii="Open Sans" w:hAnsi="Open Sans" w:cs="Open Sans"/>
          <w:b/>
          <w:bCs/>
          <w:iCs/>
          <w:sz w:val="28"/>
          <w:szCs w:val="28"/>
          <w:lang w:val="pt-BR"/>
        </w:rPr>
        <w:t>I ESPECIALIZADA EM DISSÍDIOS INDIVIDUAIS</w:t>
      </w:r>
    </w:p>
    <w:p w:rsidR="007204D6" w:rsidRDefault="007204D6" w:rsidP="007C30BE">
      <w:pPr>
        <w:ind w:left="-284"/>
        <w:jc w:val="both"/>
        <w:rPr>
          <w:rFonts w:ascii="Open Sans" w:hAnsi="Open Sans" w:cs="Open Sans"/>
          <w:b/>
          <w:i/>
          <w:color w:val="000000"/>
          <w:sz w:val="24"/>
          <w:szCs w:val="24"/>
        </w:rPr>
      </w:pPr>
    </w:p>
    <w:p w:rsidR="007204D6" w:rsidRPr="007204D6" w:rsidRDefault="007204D6" w:rsidP="007204D6">
      <w:pPr>
        <w:ind w:left="-284" w:right="367"/>
        <w:jc w:val="both"/>
        <w:rPr>
          <w:rFonts w:ascii="Open Sans" w:hAnsi="Open Sans" w:cs="Open Sans"/>
          <w:b/>
          <w:i/>
          <w:color w:val="000000"/>
          <w:sz w:val="24"/>
          <w:szCs w:val="24"/>
        </w:rPr>
      </w:pPr>
      <w:r w:rsidRPr="007204D6">
        <w:rPr>
          <w:rFonts w:ascii="Open Sans" w:hAnsi="Open Sans" w:cs="Open Sans"/>
          <w:b/>
          <w:i/>
          <w:color w:val="000000"/>
          <w:sz w:val="24"/>
          <w:szCs w:val="24"/>
        </w:rPr>
        <w:t xml:space="preserve">Recurso ordinário. Mandado de segurança. Bloqueio de conta corrente e de créditos junto a terceiros. Equivalência a penhora em conta corrente e penhora de faturamento. Súmula nº 417, I, do TST, e OJ nº 93 da SBDI-2. Legalidade. Comprometimento do desenvolvimento regular das atividades. Redução do percentual do bloqueio. </w:t>
      </w:r>
    </w:p>
    <w:p w:rsidR="007204D6" w:rsidRPr="007204D6" w:rsidRDefault="007204D6" w:rsidP="007204D6">
      <w:pPr>
        <w:ind w:left="-284" w:right="367"/>
        <w:jc w:val="both"/>
        <w:rPr>
          <w:rFonts w:ascii="Open Sans" w:hAnsi="Open Sans" w:cs="Open Sans"/>
          <w:color w:val="000000"/>
          <w:sz w:val="24"/>
          <w:szCs w:val="24"/>
        </w:rPr>
      </w:pPr>
      <w:r w:rsidRPr="007204D6">
        <w:rPr>
          <w:rFonts w:ascii="Open Sans" w:hAnsi="Open Sans" w:cs="Open Sans"/>
          <w:color w:val="000000"/>
          <w:sz w:val="24"/>
          <w:szCs w:val="24"/>
        </w:rPr>
        <w:t xml:space="preserve">A legalidade do bloqueio de valores em conta corrente e de créditos existentes junto a terceiros (o que se equipara a bloqueio sobre faturamento da empresa) para satisfação de débitos trabalhistas está amparada nos </w:t>
      </w:r>
      <w:proofErr w:type="spellStart"/>
      <w:r w:rsidRPr="007204D6">
        <w:rPr>
          <w:rFonts w:ascii="Open Sans" w:hAnsi="Open Sans" w:cs="Open Sans"/>
          <w:color w:val="000000"/>
          <w:sz w:val="24"/>
          <w:szCs w:val="24"/>
        </w:rPr>
        <w:t>arts</w:t>
      </w:r>
      <w:proofErr w:type="spellEnd"/>
      <w:r w:rsidRPr="007204D6">
        <w:rPr>
          <w:rFonts w:ascii="Open Sans" w:hAnsi="Open Sans" w:cs="Open Sans"/>
          <w:color w:val="000000"/>
          <w:sz w:val="24"/>
          <w:szCs w:val="24"/>
        </w:rPr>
        <w:t xml:space="preserve">. 835, I, e § 1º, e 866, caput, e § 1º, do CPC de 2015, bem como na Súmula nº 417, I, do TST, e na OJ nº 93 da SBDI-2. Conquanto seja permitido o bloqueio, há de se observar os princípios da razoabilidade e da proporcionalidade, de modo a não imprimir gravame tal que inviabilize a atividade empresarial, prejudicando a empresa, os empregados e os fornecedores e, ao fim e ao cabo, inviabilize a própria execução. Assim, o percentual a ser fixado deve levar em consideração, principalmente, a manutenção da atividade produtiva, ponderada em razão da efetividade da execução, mediante os meios menos gravosos (art. 805 do CPC/2015). No caso, a impetrante logrou demonstrar a situação financeira delicada da empresa que, apesar de contar com diversos contratos de prestação de serviços, tem extensa folha de pagamento de pessoal e de fornecedores, donde se extrai que, mesmo com a redução do percentual perpetrada pelo Tribunal Regional, o desenvolvimento regular de suas atividades poderá ser abalado. Some-se a isto o fato de que a impetrante não é a devedora principal, decorrendo a constrição objeto da presente ação mandamental da inclusão da impetrante na execução em face de incidente de desconsideração da personalidade jurídica, juntamente com diversas outras empresas e respectivos sócios, todos também incluídos na ordem de bloqueio e que suportarão em conjunto a dívida. Nesse contexto, a SBDI-2, por unanimidade, conheceu do recurso ordinário e, no mérito, deu-lhe parcial provimento para limitar a ordem de bloqueio a 5% dos créditos presentes e futuros nas contas bancárias da impetrante, bem como a 5% do valor dos créditos da impetrante junto aos órgãos federais, estaduais e municipais que mantenham contrato de terceirização em andamento com a impetrante, até a garantia da execução nos autos principais. </w:t>
      </w:r>
      <w:hyperlink r:id="rId10" w:history="1">
        <w:r w:rsidRPr="007204D6">
          <w:rPr>
            <w:rFonts w:ascii="Open Sans" w:hAnsi="Open Sans" w:cs="Open Sans"/>
            <w:color w:val="0000FF"/>
            <w:sz w:val="24"/>
            <w:szCs w:val="24"/>
            <w:u w:val="single"/>
          </w:rPr>
          <w:t>TST-ROT-815-84.2020.5.14.0000</w:t>
        </w:r>
      </w:hyperlink>
      <w:r w:rsidRPr="007204D6">
        <w:rPr>
          <w:rFonts w:ascii="Open Sans" w:hAnsi="Open Sans" w:cs="Open Sans"/>
          <w:color w:val="000000"/>
          <w:sz w:val="24"/>
          <w:szCs w:val="24"/>
          <w:u w:val="single"/>
        </w:rPr>
        <w:t>, SBDI-II, rel. Min. Luiz José Dezena da Silva, julgado em 25/10/2022.</w:t>
      </w:r>
    </w:p>
    <w:p w:rsidR="007204D6" w:rsidRPr="007204D6" w:rsidRDefault="007204D6" w:rsidP="007204D6">
      <w:pPr>
        <w:autoSpaceDE/>
        <w:autoSpaceDN/>
        <w:ind w:left="-284" w:right="367"/>
        <w:jc w:val="both"/>
        <w:rPr>
          <w:rFonts w:ascii="Open Sans" w:hAnsi="Open Sans" w:cs="Open Sans"/>
          <w:sz w:val="24"/>
          <w:szCs w:val="24"/>
          <w:u w:val="single"/>
        </w:rPr>
      </w:pPr>
    </w:p>
    <w:p w:rsidR="007204D6" w:rsidRPr="007204D6" w:rsidRDefault="007204D6" w:rsidP="007204D6">
      <w:pPr>
        <w:ind w:left="-284" w:right="367"/>
        <w:jc w:val="both"/>
        <w:rPr>
          <w:rFonts w:ascii="Open Sans" w:hAnsi="Open Sans" w:cs="Open Sans"/>
          <w:b/>
          <w:i/>
          <w:color w:val="000000"/>
          <w:sz w:val="24"/>
          <w:szCs w:val="24"/>
        </w:rPr>
      </w:pPr>
      <w:r w:rsidRPr="007204D6">
        <w:rPr>
          <w:rFonts w:ascii="Open Sans" w:hAnsi="Open Sans" w:cs="Open Sans"/>
          <w:b/>
          <w:i/>
          <w:color w:val="000000"/>
          <w:sz w:val="24"/>
          <w:szCs w:val="24"/>
        </w:rPr>
        <w:t>Recurso ordinário em ação rescisória. Decadência. Análise de ofício. Trânsito em julgado ocorrido na vigência do CPC/1973. Marco inicial do prazo para o ajuizamento da ação rescisória. Pretensão fundamentada em prova nova. Aplicação da legislação vigente na época em que se operou o trânsito em julgado da decisão que se pretende desconstituir.</w:t>
      </w:r>
    </w:p>
    <w:p w:rsidR="007204D6" w:rsidRPr="007204D6" w:rsidRDefault="007204D6" w:rsidP="007204D6">
      <w:pPr>
        <w:ind w:left="-284" w:right="367"/>
        <w:jc w:val="both"/>
        <w:rPr>
          <w:rFonts w:ascii="Open Sans" w:hAnsi="Open Sans" w:cs="Open Sans"/>
          <w:color w:val="000000"/>
          <w:sz w:val="24"/>
          <w:szCs w:val="24"/>
          <w:u w:val="single"/>
        </w:rPr>
      </w:pPr>
      <w:r w:rsidRPr="007204D6">
        <w:rPr>
          <w:rFonts w:ascii="Open Sans" w:hAnsi="Open Sans" w:cs="Open Sans"/>
          <w:color w:val="000000"/>
          <w:sz w:val="24"/>
          <w:szCs w:val="24"/>
        </w:rPr>
        <w:lastRenderedPageBreak/>
        <w:t xml:space="preserve">Conforme jurisprudência do TST, a disciplina processual da ação rescisória é regida pelas normas vigentes à época em que ocorreu o trânsito em julgado da decisão rescindenda. No caso concreto, a pretensão rescisória, fundamentada em prova nova, volta-se contra acórdão de TRT cujo trânsito em julgado ocorreu em 18/2/15, anteriormente à vigência da Lei 13.105/2015, que trouxe novos critérios para a contagem do biênio decadencial. Nesses termos, aplica-se o art. 495 do CPC/1973 ao início da contagem do prazo para o ajuizamento da ação rescisória, pois inviável a incidência retroativa da nova legislação processual aos fatos consolidados sob a égide da norma anterior. Sob esses fundamentos, a SBDI-II, por unanimidade, conheceu do recurso ordinário e, de ofício, pronunciou a decadência do direito à desconstituição do julgado, extinguindo a ação com resolução de mérito. </w:t>
      </w:r>
      <w:hyperlink r:id="rId11" w:history="1">
        <w:r w:rsidRPr="007204D6">
          <w:rPr>
            <w:rFonts w:ascii="Open Sans" w:hAnsi="Open Sans" w:cs="Open Sans"/>
            <w:color w:val="0000FF" w:themeColor="hyperlink"/>
            <w:sz w:val="24"/>
            <w:szCs w:val="24"/>
            <w:u w:val="single"/>
          </w:rPr>
          <w:t>TST-RO-755-34.2018.5.05.0000</w:t>
        </w:r>
      </w:hyperlink>
      <w:r w:rsidRPr="007204D6">
        <w:rPr>
          <w:rFonts w:ascii="Open Sans" w:hAnsi="Open Sans" w:cs="Open Sans"/>
          <w:color w:val="000000"/>
          <w:sz w:val="24"/>
          <w:szCs w:val="24"/>
          <w:u w:val="single"/>
        </w:rPr>
        <w:t xml:space="preserve">, SBDI-II, rel. Min. Morgana de Almeida </w:t>
      </w:r>
      <w:proofErr w:type="spellStart"/>
      <w:r w:rsidRPr="007204D6">
        <w:rPr>
          <w:rFonts w:ascii="Open Sans" w:hAnsi="Open Sans" w:cs="Open Sans"/>
          <w:color w:val="000000"/>
          <w:sz w:val="24"/>
          <w:szCs w:val="24"/>
          <w:u w:val="single"/>
        </w:rPr>
        <w:t>Richa</w:t>
      </w:r>
      <w:proofErr w:type="spellEnd"/>
      <w:r w:rsidRPr="007204D6">
        <w:rPr>
          <w:rFonts w:ascii="Open Sans" w:hAnsi="Open Sans" w:cs="Open Sans"/>
          <w:color w:val="000000"/>
          <w:sz w:val="24"/>
          <w:szCs w:val="24"/>
          <w:u w:val="single"/>
        </w:rPr>
        <w:t>, julgado em 25/10/2022.</w:t>
      </w:r>
    </w:p>
    <w:p w:rsidR="007204D6" w:rsidRPr="007204D6" w:rsidRDefault="007204D6" w:rsidP="007204D6">
      <w:pPr>
        <w:autoSpaceDE/>
        <w:autoSpaceDN/>
        <w:ind w:left="-284" w:right="367"/>
        <w:jc w:val="both"/>
        <w:rPr>
          <w:rFonts w:ascii="Open Sans" w:hAnsi="Open Sans" w:cs="Open Sans"/>
          <w:sz w:val="24"/>
          <w:szCs w:val="24"/>
          <w:u w:val="single"/>
        </w:rPr>
      </w:pPr>
    </w:p>
    <w:p w:rsidR="007204D6" w:rsidRPr="007204D6" w:rsidRDefault="007204D6" w:rsidP="007204D6">
      <w:pPr>
        <w:ind w:left="-284" w:right="367"/>
        <w:jc w:val="both"/>
        <w:rPr>
          <w:rFonts w:ascii="Open Sans" w:hAnsi="Open Sans" w:cs="Open Sans"/>
          <w:b/>
          <w:i/>
          <w:sz w:val="24"/>
          <w:szCs w:val="24"/>
        </w:rPr>
      </w:pPr>
      <w:r w:rsidRPr="007204D6">
        <w:rPr>
          <w:rFonts w:ascii="Open Sans" w:hAnsi="Open Sans" w:cs="Open Sans"/>
          <w:b/>
          <w:i/>
          <w:sz w:val="24"/>
          <w:szCs w:val="24"/>
        </w:rPr>
        <w:t xml:space="preserve">Ação rescisória. Alegação de prova falsa. Atestado médico. Pretensão de exibição do prontuário do reclamante. Não demonstração da pertinência. Diligência inútil. Art. 370, parágrafo único, do CPC. </w:t>
      </w:r>
    </w:p>
    <w:p w:rsidR="007204D6" w:rsidRPr="007204D6" w:rsidRDefault="007204D6" w:rsidP="007204D6">
      <w:pPr>
        <w:ind w:left="-284" w:right="367"/>
        <w:jc w:val="both"/>
        <w:rPr>
          <w:rFonts w:ascii="Open Sans" w:hAnsi="Open Sans" w:cs="Open Sans"/>
          <w:b/>
          <w:color w:val="000000"/>
          <w:sz w:val="24"/>
          <w:szCs w:val="24"/>
        </w:rPr>
      </w:pPr>
      <w:r w:rsidRPr="007204D6">
        <w:rPr>
          <w:rFonts w:ascii="Open Sans" w:hAnsi="Open Sans" w:cs="Open Sans"/>
          <w:color w:val="000000"/>
          <w:sz w:val="24"/>
          <w:szCs w:val="24"/>
        </w:rPr>
        <w:t xml:space="preserve">Afigura-se como diligência inútil a exibição de prontuário do reclamante quando não evidenciada a sua pertinência na comprovação da alegada falsidade do atestado médico. Com esse fundamento, a SBDI-II, por unanimidade, negou provimento ao recurso ordinário interposto pela autora, reclamada no processo matriz, que propôs ação rescisória calcada na hipótese de prova falsa, sob a alegação de que o reclamante teria apresentado atestado médico falso, visto que emitido por ginecologista e em clínica na qual não atendia emergência. Foi então pleiteada a exibição do prontuário do reclamante a fim de se comprovar a validade do atestado. Entretanto, a SBDI-II confirmou a decisão do Tribunal Regional do Trabalho da 2ª Região, em que se julgou improcedente a ação rescisória, sob o fundamento de que o fato de o médico ser ginecologista não afasta sua competência técnica para atender o reclamante, homem, não sendo possível falar em falsidade por esse motivo. Além disso, consignou-se que a parte autora não logrou demonstrar como o prontuário evidenciaria a alegada falsidade do atestado, tratando-se, portanto, de diligência inútil e que, no caso, serviria apenas para expor informações extremamente íntimas do reclamante, em flagrante ofensa ao princípio constitucional da privacidade. </w:t>
      </w:r>
      <w:hyperlink r:id="rId12" w:history="1">
        <w:r w:rsidRPr="007204D6">
          <w:rPr>
            <w:rFonts w:ascii="Open Sans" w:hAnsi="Open Sans" w:cs="Open Sans"/>
            <w:color w:val="0000FF"/>
            <w:sz w:val="24"/>
            <w:szCs w:val="24"/>
            <w:u w:val="single"/>
          </w:rPr>
          <w:t>TST-ROT-1004519-24.2020.5.02.0000</w:t>
        </w:r>
      </w:hyperlink>
      <w:r w:rsidRPr="007204D6">
        <w:rPr>
          <w:rFonts w:ascii="Open Sans" w:hAnsi="Open Sans" w:cs="Open Sans"/>
          <w:color w:val="000000"/>
          <w:sz w:val="24"/>
          <w:szCs w:val="24"/>
          <w:u w:val="single"/>
        </w:rPr>
        <w:t>, SBDI-II, rel. Min. Sergio Pinto Martins, julgado em 8/11/2022.</w:t>
      </w:r>
    </w:p>
    <w:p w:rsidR="0085483A" w:rsidRPr="003E0231" w:rsidRDefault="0085483A" w:rsidP="001A7589">
      <w:pPr>
        <w:pStyle w:val="Identificao"/>
        <w:ind w:left="-284" w:right="368"/>
        <w:rPr>
          <w:rFonts w:ascii="Open Sans" w:hAnsi="Open Sans" w:cs="Open Sans"/>
          <w:lang w:val="pt-BR"/>
        </w:rPr>
      </w:pPr>
    </w:p>
    <w:p w:rsidR="001A7589" w:rsidRPr="003509A3" w:rsidRDefault="001A7589" w:rsidP="007204D6">
      <w:pPr>
        <w:pStyle w:val="Corpo"/>
        <w:pBdr>
          <w:top w:val="single" w:sz="4" w:space="1" w:color="auto"/>
          <w:left w:val="single" w:sz="4" w:space="6" w:color="auto"/>
          <w:bottom w:val="single" w:sz="4" w:space="1" w:color="auto"/>
          <w:right w:val="single" w:sz="4" w:space="0" w:color="auto"/>
        </w:pBdr>
        <w:shd w:val="solid" w:color="B8CCE4" w:fill="B8CCE4"/>
        <w:tabs>
          <w:tab w:val="center" w:pos="4819"/>
          <w:tab w:val="left" w:pos="6759"/>
        </w:tabs>
        <w:spacing w:line="240" w:lineRule="auto"/>
        <w:ind w:left="-142" w:right="368"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TURMAS</w:t>
      </w:r>
    </w:p>
    <w:p w:rsidR="001A7589" w:rsidRDefault="001A7589" w:rsidP="00ED5B9D">
      <w:pPr>
        <w:pStyle w:val="Cabealho"/>
        <w:tabs>
          <w:tab w:val="clear" w:pos="4419"/>
          <w:tab w:val="clear" w:pos="8838"/>
        </w:tabs>
        <w:ind w:left="-142" w:right="368" w:firstLine="142"/>
        <w:jc w:val="center"/>
        <w:rPr>
          <w:rFonts w:ascii="Open Sans" w:hAnsi="Open Sans" w:cs="Open Sans"/>
          <w:i/>
        </w:rPr>
      </w:pPr>
      <w:r w:rsidRPr="003509A3">
        <w:rPr>
          <w:rFonts w:ascii="Open Sans" w:hAnsi="Open Sans" w:cs="Open Sans"/>
          <w:i/>
        </w:rPr>
        <w:t>Transcrição de ementas selecionadas nas sessões de julgamento das Turmas do TST.</w:t>
      </w:r>
    </w:p>
    <w:p w:rsidR="007204D6" w:rsidRPr="007204D6" w:rsidRDefault="007204D6" w:rsidP="007204D6">
      <w:pPr>
        <w:autoSpaceDE/>
        <w:autoSpaceDN/>
        <w:ind w:left="-284" w:right="367"/>
        <w:jc w:val="both"/>
        <w:rPr>
          <w:rFonts w:ascii="Open Sans" w:eastAsiaTheme="minorHAnsi" w:hAnsi="Open Sans" w:cs="Open Sans"/>
          <w:sz w:val="24"/>
          <w:szCs w:val="24"/>
          <w:lang w:eastAsia="en-US"/>
        </w:rPr>
      </w:pPr>
    </w:p>
    <w:p w:rsidR="007204D6" w:rsidRPr="007204D6" w:rsidRDefault="007204D6" w:rsidP="007204D6">
      <w:pPr>
        <w:autoSpaceDE/>
        <w:autoSpaceDN/>
        <w:ind w:left="-284" w:right="367"/>
        <w:jc w:val="both"/>
        <w:rPr>
          <w:rFonts w:ascii="Open Sans" w:eastAsiaTheme="minorHAnsi" w:hAnsi="Open Sans" w:cs="Open Sans"/>
          <w:sz w:val="24"/>
          <w:szCs w:val="24"/>
          <w:lang w:eastAsia="en-US"/>
        </w:rPr>
      </w:pPr>
      <w:r w:rsidRPr="007204D6">
        <w:rPr>
          <w:rFonts w:ascii="Open Sans" w:eastAsiaTheme="minorHAnsi" w:hAnsi="Open Sans" w:cs="Open Sans"/>
          <w:sz w:val="24"/>
          <w:szCs w:val="24"/>
          <w:lang w:eastAsia="en-US"/>
        </w:rPr>
        <w:t xml:space="preserve">“[...] II - RECURSO DE REVISTA DO RECLAMANTE. </w:t>
      </w:r>
      <w:proofErr w:type="gramStart"/>
      <w:r w:rsidRPr="007204D6">
        <w:rPr>
          <w:rFonts w:ascii="Open Sans" w:eastAsiaTheme="minorHAnsi" w:hAnsi="Open Sans" w:cs="Open Sans"/>
          <w:sz w:val="24"/>
          <w:szCs w:val="24"/>
          <w:lang w:eastAsia="en-US"/>
        </w:rPr>
        <w:t>1</w:t>
      </w:r>
      <w:proofErr w:type="gramEnd"/>
      <w:r w:rsidRPr="007204D6">
        <w:rPr>
          <w:rFonts w:ascii="Open Sans" w:eastAsiaTheme="minorHAnsi" w:hAnsi="Open Sans" w:cs="Open Sans"/>
          <w:sz w:val="24"/>
          <w:szCs w:val="24"/>
          <w:lang w:eastAsia="en-US"/>
        </w:rPr>
        <w:t xml:space="preserve">. VALOR DA INDENIZAÇÃO POR DANOS MATERIAIS. DOENÇA DEGENERATIVA AGRAVADA POR ACIDENTE DE TRABALHO (QUEDA DE ELEVADOR). NEXO CONCAUSAL. INCAPACIDADE TOTAL E PERMANENTE. PENSÃO VITALÍCIA DE 50% DA REMUNERAÇÃO. PAGAMENTO EM PARCELA ÚNICA. </w:t>
      </w:r>
      <w:r w:rsidRPr="007204D6">
        <w:rPr>
          <w:rFonts w:ascii="Open Sans" w:eastAsiaTheme="minorHAnsi" w:hAnsi="Open Sans" w:cs="Open Sans"/>
          <w:sz w:val="24"/>
          <w:szCs w:val="24"/>
          <w:lang w:eastAsia="en-US"/>
        </w:rPr>
        <w:lastRenderedPageBreak/>
        <w:t>APLICAÇÃO DE REDUTOR. FORMA DE CÁLCULO. 1. Constato haver transcendência tendo em vista haver aparente desrespeito à jurisprudência dominante desta Corte Superior. 2. O Tribunal Regional, após exame do quadro fático-probatório dos autos, reconheceu o “</w:t>
      </w:r>
      <w:r w:rsidRPr="007204D6">
        <w:rPr>
          <w:rFonts w:ascii="Open Sans" w:eastAsiaTheme="minorHAnsi" w:hAnsi="Open Sans" w:cs="Open Sans"/>
          <w:i/>
          <w:sz w:val="24"/>
          <w:szCs w:val="24"/>
          <w:lang w:eastAsia="en-US"/>
        </w:rPr>
        <w:t xml:space="preserve">nexo </w:t>
      </w:r>
      <w:proofErr w:type="spellStart"/>
      <w:r w:rsidRPr="007204D6">
        <w:rPr>
          <w:rFonts w:ascii="Open Sans" w:eastAsiaTheme="minorHAnsi" w:hAnsi="Open Sans" w:cs="Open Sans"/>
          <w:i/>
          <w:sz w:val="24"/>
          <w:szCs w:val="24"/>
          <w:lang w:eastAsia="en-US"/>
        </w:rPr>
        <w:t>concausal</w:t>
      </w:r>
      <w:proofErr w:type="spellEnd"/>
      <w:r w:rsidRPr="007204D6">
        <w:rPr>
          <w:rFonts w:ascii="Open Sans" w:eastAsiaTheme="minorHAnsi" w:hAnsi="Open Sans" w:cs="Open Sans"/>
          <w:i/>
          <w:sz w:val="24"/>
          <w:szCs w:val="24"/>
          <w:lang w:eastAsia="en-US"/>
        </w:rPr>
        <w:t xml:space="preserve"> entre a doença adquirida (lesões na coluna lombar - </w:t>
      </w:r>
      <w:proofErr w:type="spellStart"/>
      <w:r w:rsidRPr="007204D6">
        <w:rPr>
          <w:rFonts w:ascii="Open Sans" w:eastAsiaTheme="minorHAnsi" w:hAnsi="Open Sans" w:cs="Open Sans"/>
          <w:i/>
          <w:sz w:val="24"/>
          <w:szCs w:val="24"/>
          <w:lang w:eastAsia="en-US"/>
        </w:rPr>
        <w:t>espondilolistese</w:t>
      </w:r>
      <w:proofErr w:type="spellEnd"/>
      <w:r w:rsidRPr="007204D6">
        <w:rPr>
          <w:rFonts w:ascii="Open Sans" w:eastAsiaTheme="minorHAnsi" w:hAnsi="Open Sans" w:cs="Open Sans"/>
          <w:i/>
          <w:sz w:val="24"/>
          <w:szCs w:val="24"/>
          <w:lang w:eastAsia="en-US"/>
        </w:rPr>
        <w:t>) e o trabalho (leia-se, o referido acidente) desenvolvido (e ocorrido) na ré, o que força a conclusão, na esteira do laudo pericial médico, que o autor perdeu total e permanentemente a sua capacidade de trabalho</w:t>
      </w:r>
      <w:r w:rsidRPr="007204D6">
        <w:rPr>
          <w:rFonts w:ascii="Open Sans" w:eastAsiaTheme="minorHAnsi" w:hAnsi="Open Sans" w:cs="Open Sans"/>
          <w:sz w:val="24"/>
          <w:szCs w:val="24"/>
          <w:lang w:eastAsia="en-US"/>
        </w:rPr>
        <w:t>”. 3. Nos termos do art. 950 do Código Civil, “</w:t>
      </w:r>
      <w:r w:rsidRPr="007204D6">
        <w:rPr>
          <w:rFonts w:ascii="Open Sans" w:eastAsiaTheme="minorHAnsi" w:hAnsi="Open Sans" w:cs="Open Sans"/>
          <w:i/>
          <w:sz w:val="24"/>
          <w:szCs w:val="24"/>
          <w:lang w:eastAsia="en-US"/>
        </w:rPr>
        <w:t>se da ofensa resultar defeito pelo qual o ofendido não possa exercer o seu ofício ou profissão (...) a indenização (...) incluirá pensão correspondente à importância do trabalho para que se inabilitou (...)</w:t>
      </w:r>
      <w:r w:rsidRPr="007204D6">
        <w:rPr>
          <w:rFonts w:ascii="Open Sans" w:eastAsiaTheme="minorHAnsi" w:hAnsi="Open Sans" w:cs="Open Sans"/>
          <w:sz w:val="24"/>
          <w:szCs w:val="24"/>
          <w:lang w:eastAsia="en-US"/>
        </w:rPr>
        <w:t xml:space="preserve">”. Depreende-se, da leitura do dispositivo transcrito, que nas hipóteses em que o empregado está totalmente incapacitado para a função anteriormente desempenhada, é devido, levando-se em consideração também o princípio da reparação integral (100%), pensão mensal vitalícia em importe correspondente a ultima remuneração percebida. Depreende-se, outrossim, que a incapacidade para o trabalho deve ser aferida à luz da profissão exercida pela vítima, sendo irrelevante, para esse fim, a possibilidade de o trabalhador desempenhar atividades laborais distintas daquelas executadas até a data do infortúnio. 4. No caso dos autos, em que o acidente de trabalho contribuiu apenas como </w:t>
      </w:r>
      <w:proofErr w:type="spellStart"/>
      <w:r w:rsidRPr="007204D6">
        <w:rPr>
          <w:rFonts w:ascii="Open Sans" w:eastAsiaTheme="minorHAnsi" w:hAnsi="Open Sans" w:cs="Open Sans"/>
          <w:sz w:val="24"/>
          <w:szCs w:val="24"/>
          <w:lang w:eastAsia="en-US"/>
        </w:rPr>
        <w:t>concausa</w:t>
      </w:r>
      <w:proofErr w:type="spellEnd"/>
      <w:r w:rsidRPr="007204D6">
        <w:rPr>
          <w:rFonts w:ascii="Open Sans" w:eastAsiaTheme="minorHAnsi" w:hAnsi="Open Sans" w:cs="Open Sans"/>
          <w:sz w:val="24"/>
          <w:szCs w:val="24"/>
          <w:lang w:eastAsia="en-US"/>
        </w:rPr>
        <w:t xml:space="preserve"> para a perda da capacidade laboral, e não havendo no acórdão regional notícia a respeito do grau de contribuição do trabalho em relação à doença ocupacional, a jurisprudência do TST tem decidido pela pensão mensal vitalícia no </w:t>
      </w:r>
      <w:proofErr w:type="gramStart"/>
      <w:r w:rsidRPr="007204D6">
        <w:rPr>
          <w:rFonts w:ascii="Open Sans" w:eastAsiaTheme="minorHAnsi" w:hAnsi="Open Sans" w:cs="Open Sans"/>
          <w:sz w:val="24"/>
          <w:szCs w:val="24"/>
          <w:lang w:eastAsia="en-US"/>
        </w:rPr>
        <w:t>percentual</w:t>
      </w:r>
      <w:proofErr w:type="gramEnd"/>
      <w:r w:rsidRPr="007204D6">
        <w:rPr>
          <w:rFonts w:ascii="Open Sans" w:eastAsiaTheme="minorHAnsi" w:hAnsi="Open Sans" w:cs="Open Sans"/>
          <w:sz w:val="24"/>
          <w:szCs w:val="24"/>
          <w:lang w:eastAsia="en-US"/>
        </w:rPr>
        <w:t xml:space="preserve"> de 50% da ultima remuneração. 5. E nas hipóteses em que o pagamento do </w:t>
      </w:r>
      <w:proofErr w:type="spellStart"/>
      <w:r w:rsidRPr="007204D6">
        <w:rPr>
          <w:rFonts w:ascii="Open Sans" w:eastAsiaTheme="minorHAnsi" w:hAnsi="Open Sans" w:cs="Open Sans"/>
          <w:sz w:val="24"/>
          <w:szCs w:val="24"/>
          <w:lang w:eastAsia="en-US"/>
        </w:rPr>
        <w:t>pensionamento</w:t>
      </w:r>
      <w:proofErr w:type="spellEnd"/>
      <w:r w:rsidRPr="007204D6">
        <w:rPr>
          <w:rFonts w:ascii="Open Sans" w:eastAsiaTheme="minorHAnsi" w:hAnsi="Open Sans" w:cs="Open Sans"/>
          <w:sz w:val="24"/>
          <w:szCs w:val="24"/>
          <w:lang w:eastAsia="en-US"/>
        </w:rPr>
        <w:t xml:space="preserve"> é convertido em parcela única, o entendimento firmado neste Tribunal Superior é pela aplicação de deságio na condenação indenizatória correspondente ao pagamento antecipado de pensão mensal em montante único. Isso porque, se o pagamento de pensão mensal é convertido em parcela única, deve haver um redutor para compensar seu pagamento antecipado, pois é certo que o trabalhador somente teria direito ao valor total da indenização ao final do período referente à expectativa de vida fixada, em observância aos princípios da razoabilidade e da proporcionalidade da condenação insculpidos no disposto no artigo 950, parágrafo único, do Código Civil. 6. Quanto ao percentual redutor, nesta Primeira Turma vem sendo adotada fórmula em que consideradas a última remuneração do trabalhador (incluídos 1/3 de férias e 8% de FGTS), a quantidade de meses que faltarem para atingir o tempo de expectativa de vida, conforme tabela de mortalidade do IBGE, e a taxa de juros a ser descontada correspondente a 0,5% ao mês. 7. Não obstante, tendo em vista que é incontroverso (petição inicial, CAT e contestação - fls. 13, 32 e 149 dos autos eletrônicos, respectivamente) que a última remuneração do reclamante sem 1/3 de férias e 8% de FGTS foi de R$1.230,00 (um mil, duzentos e trinta reais) e levando-se em consideração os parâmetros de cálculo já mencionados, verifica-se que o valor de </w:t>
      </w:r>
      <w:proofErr w:type="gramStart"/>
      <w:r w:rsidRPr="007204D6">
        <w:rPr>
          <w:rFonts w:ascii="Open Sans" w:eastAsiaTheme="minorHAnsi" w:hAnsi="Open Sans" w:cs="Open Sans"/>
          <w:sz w:val="24"/>
          <w:szCs w:val="24"/>
          <w:lang w:eastAsia="en-US"/>
        </w:rPr>
        <w:t>R$20.000,00 (vinte mil reais) arbitrado</w:t>
      </w:r>
      <w:proofErr w:type="gramEnd"/>
      <w:r w:rsidRPr="007204D6">
        <w:rPr>
          <w:rFonts w:ascii="Open Sans" w:eastAsiaTheme="minorHAnsi" w:hAnsi="Open Sans" w:cs="Open Sans"/>
          <w:sz w:val="24"/>
          <w:szCs w:val="24"/>
          <w:lang w:eastAsia="en-US"/>
        </w:rPr>
        <w:t xml:space="preserve"> a título de indenização por danos materiais a ser pago em parcela única é inferior ao devido. 8. Configurada a violação do art. 950 do Código Civil. </w:t>
      </w:r>
      <w:proofErr w:type="gramStart"/>
      <w:r w:rsidRPr="007204D6">
        <w:rPr>
          <w:rFonts w:ascii="Open Sans" w:eastAsiaTheme="minorHAnsi" w:hAnsi="Open Sans" w:cs="Open Sans"/>
          <w:sz w:val="24"/>
          <w:szCs w:val="24"/>
          <w:lang w:eastAsia="en-US"/>
        </w:rPr>
        <w:lastRenderedPageBreak/>
        <w:t>Recurso de revista conhecido e provido, no tema.”</w:t>
      </w:r>
      <w:proofErr w:type="gramEnd"/>
      <w:r w:rsidRPr="007204D6">
        <w:rPr>
          <w:rFonts w:ascii="Open Sans" w:eastAsiaTheme="minorHAnsi" w:hAnsi="Open Sans" w:cs="Open Sans"/>
          <w:sz w:val="24"/>
          <w:szCs w:val="24"/>
          <w:lang w:eastAsia="en-US"/>
        </w:rPr>
        <w:t xml:space="preserve"> (</w:t>
      </w:r>
      <w:hyperlink r:id="rId13" w:history="1">
        <w:r w:rsidRPr="007204D6">
          <w:rPr>
            <w:rFonts w:ascii="Open Sans" w:eastAsiaTheme="minorHAnsi" w:hAnsi="Open Sans" w:cs="Open Sans"/>
            <w:color w:val="0000FF" w:themeColor="hyperlink"/>
            <w:sz w:val="24"/>
            <w:szCs w:val="24"/>
            <w:u w:val="single"/>
            <w:lang w:eastAsia="en-US"/>
          </w:rPr>
          <w:t>TST-RR-1001299-83.2016.5.02.0444</w:t>
        </w:r>
      </w:hyperlink>
      <w:r w:rsidRPr="007204D6">
        <w:rPr>
          <w:rFonts w:ascii="Open Sans" w:eastAsiaTheme="minorHAnsi" w:hAnsi="Open Sans" w:cs="Open Sans"/>
          <w:sz w:val="24"/>
          <w:szCs w:val="24"/>
          <w:lang w:eastAsia="en-US"/>
        </w:rPr>
        <w:t xml:space="preserve">, 1ª Turma, rel. Min. </w:t>
      </w:r>
      <w:r w:rsidRPr="007204D6">
        <w:rPr>
          <w:rFonts w:ascii="Open Sans" w:hAnsi="Open Sans" w:cs="Open Sans"/>
          <w:sz w:val="24"/>
          <w:szCs w:val="24"/>
        </w:rPr>
        <w:t xml:space="preserve">Hugo Carlos </w:t>
      </w:r>
      <w:proofErr w:type="spellStart"/>
      <w:r w:rsidRPr="007204D6">
        <w:rPr>
          <w:rFonts w:ascii="Open Sans" w:hAnsi="Open Sans" w:cs="Open Sans"/>
          <w:sz w:val="24"/>
          <w:szCs w:val="24"/>
        </w:rPr>
        <w:t>Scheuermann</w:t>
      </w:r>
      <w:proofErr w:type="spellEnd"/>
      <w:r>
        <w:rPr>
          <w:rFonts w:ascii="Open Sans" w:eastAsiaTheme="minorHAnsi" w:hAnsi="Open Sans" w:cs="Open Sans"/>
          <w:sz w:val="24"/>
          <w:szCs w:val="24"/>
          <w:lang w:eastAsia="en-US"/>
        </w:rPr>
        <w:t>, julgado em 26/10/2022)</w:t>
      </w:r>
    </w:p>
    <w:p w:rsidR="007204D6" w:rsidRPr="007204D6" w:rsidRDefault="007204D6" w:rsidP="007204D6">
      <w:pPr>
        <w:autoSpaceDE/>
        <w:autoSpaceDN/>
        <w:ind w:left="-284" w:right="367"/>
        <w:jc w:val="both"/>
        <w:rPr>
          <w:rFonts w:ascii="Open Sans" w:eastAsiaTheme="minorHAnsi" w:hAnsi="Open Sans" w:cs="Open Sans"/>
          <w:sz w:val="24"/>
          <w:szCs w:val="24"/>
          <w:lang w:eastAsia="en-US"/>
        </w:rPr>
      </w:pPr>
    </w:p>
    <w:p w:rsidR="007204D6" w:rsidRPr="007204D6" w:rsidRDefault="007204D6" w:rsidP="007204D6">
      <w:pPr>
        <w:autoSpaceDE/>
        <w:autoSpaceDN/>
        <w:ind w:left="-284" w:right="367"/>
        <w:jc w:val="both"/>
        <w:rPr>
          <w:rFonts w:ascii="Open Sans" w:eastAsiaTheme="minorHAnsi" w:hAnsi="Open Sans" w:cs="Open Sans"/>
          <w:sz w:val="24"/>
          <w:szCs w:val="24"/>
          <w:lang w:eastAsia="en-US"/>
        </w:rPr>
      </w:pPr>
      <w:r w:rsidRPr="007204D6">
        <w:rPr>
          <w:rFonts w:ascii="Open Sans" w:eastAsiaTheme="minorHAnsi" w:hAnsi="Open Sans" w:cs="Open Sans"/>
          <w:sz w:val="24"/>
          <w:szCs w:val="24"/>
          <w:lang w:eastAsia="en-US"/>
        </w:rPr>
        <w:t xml:space="preserve">“AGRAVO. AGRAVO DE INSTRUMENTO. RECURSO DE REVISTA. DISPENSA DISCRIMINATÓRIA. EMPREGADO PORTADOR DE DOENÇA GRAVE. TRANSTORNOS PSICÓTICOS AGUDOS COM SINTOMAS ESQUIZOFRÊNICOS. AUSÊNCIA DE APRESENTAÇÃO DO EXAME DEMISSIONAL. DESPEDIDA NO DIA IMEDIATAMENTE POSTERIOR AO TÉRMINO DO BENEFÍCIO PREVIDENCIÁRIO. SÚMULA 443 DO TST. </w:t>
      </w:r>
      <w:proofErr w:type="gramStart"/>
      <w:r w:rsidRPr="007204D6">
        <w:rPr>
          <w:rFonts w:ascii="Open Sans" w:eastAsiaTheme="minorHAnsi" w:hAnsi="Open Sans" w:cs="Open Sans"/>
          <w:sz w:val="24"/>
          <w:szCs w:val="24"/>
          <w:lang w:eastAsia="en-US"/>
        </w:rPr>
        <w:t>1</w:t>
      </w:r>
      <w:proofErr w:type="gramEnd"/>
      <w:r w:rsidRPr="007204D6">
        <w:rPr>
          <w:rFonts w:ascii="Open Sans" w:eastAsiaTheme="minorHAnsi" w:hAnsi="Open Sans" w:cs="Open Sans"/>
          <w:sz w:val="24"/>
          <w:szCs w:val="24"/>
          <w:lang w:eastAsia="en-US"/>
        </w:rPr>
        <w:t xml:space="preserve">. A jurisprudência desta Corte Superior firmou-se no sentido de ser presumidamente discriminatória a dispensa, sem justa causa, de trabalhador portador de doença grave ou </w:t>
      </w:r>
      <w:proofErr w:type="spellStart"/>
      <w:r w:rsidRPr="007204D6">
        <w:rPr>
          <w:rFonts w:ascii="Open Sans" w:eastAsiaTheme="minorHAnsi" w:hAnsi="Open Sans" w:cs="Open Sans"/>
          <w:sz w:val="24"/>
          <w:szCs w:val="24"/>
          <w:lang w:eastAsia="en-US"/>
        </w:rPr>
        <w:t>estigmatizante</w:t>
      </w:r>
      <w:proofErr w:type="spellEnd"/>
      <w:r w:rsidRPr="007204D6">
        <w:rPr>
          <w:rFonts w:ascii="Open Sans" w:eastAsiaTheme="minorHAnsi" w:hAnsi="Open Sans" w:cs="Open Sans"/>
          <w:sz w:val="24"/>
          <w:szCs w:val="24"/>
          <w:lang w:eastAsia="en-US"/>
        </w:rPr>
        <w:t xml:space="preserve">, invertendo-se, assim, o ônus da prova, de forma a caber a empresa comprovar que a dispensa não ocorrera de forma discriminatória, conforme preconiza a Súmula 443 do TST. 2. Na hipótese, caberia à ré provar que dispensou a autora, portadora de doença grave psiquiátrica (transtorno psicótico agudo polimorfo, com sintomas esquizofrênicos), por algum motivo plausível, razoável e socialmente justificável, de modo a afastar o caráter discriminatório da rescisão contratual, o que não ocorreu no caso dos autos. 3. Salienta-se que o fato de a ré ter comprovado a despedida de outros sessenta e oito empregados no mês não é suficiente, por si só, para comprovar a ausência de caráter discriminatório, uma vez que o empregador tinha ciência da situação singular de transtorno de comportamento apresentado pela autora. Acrescenta-se que a empregada foi despedida no dia imediatamente posterior ao término do benefício previdenciário e que não houve apresentação do seu exame </w:t>
      </w:r>
      <w:proofErr w:type="spellStart"/>
      <w:r w:rsidRPr="007204D6">
        <w:rPr>
          <w:rFonts w:ascii="Open Sans" w:eastAsiaTheme="minorHAnsi" w:hAnsi="Open Sans" w:cs="Open Sans"/>
          <w:sz w:val="24"/>
          <w:szCs w:val="24"/>
          <w:lang w:eastAsia="en-US"/>
        </w:rPr>
        <w:t>demissional</w:t>
      </w:r>
      <w:proofErr w:type="spellEnd"/>
      <w:r w:rsidRPr="007204D6">
        <w:rPr>
          <w:rFonts w:ascii="Open Sans" w:eastAsiaTheme="minorHAnsi" w:hAnsi="Open Sans" w:cs="Open Sans"/>
          <w:sz w:val="24"/>
          <w:szCs w:val="24"/>
          <w:lang w:eastAsia="en-US"/>
        </w:rPr>
        <w:t>. 4. Assim, o entendimento adotado pelo Tribunal Regional está em consonância com a jurisprudência pacífica desta Corte Superior, consubstanciado na Súmula 443. Agravo a que se nega provimento.” (</w:t>
      </w:r>
      <w:hyperlink r:id="rId14" w:history="1">
        <w:r w:rsidRPr="007204D6">
          <w:rPr>
            <w:rFonts w:ascii="Open Sans" w:eastAsiaTheme="minorHAnsi" w:hAnsi="Open Sans" w:cs="Open Sans"/>
            <w:color w:val="0000FF" w:themeColor="hyperlink"/>
            <w:sz w:val="24"/>
            <w:szCs w:val="24"/>
            <w:u w:val="single"/>
            <w:lang w:eastAsia="en-US"/>
          </w:rPr>
          <w:t>TST-Ag-AIRR-20820-61.2019.5.04.0382</w:t>
        </w:r>
      </w:hyperlink>
      <w:r w:rsidRPr="007204D6">
        <w:rPr>
          <w:rFonts w:ascii="Open Sans" w:eastAsiaTheme="minorHAnsi" w:hAnsi="Open Sans" w:cs="Open Sans"/>
          <w:sz w:val="24"/>
          <w:szCs w:val="24"/>
          <w:lang w:eastAsia="en-US"/>
        </w:rPr>
        <w:t xml:space="preserve">, 1ª Turma, rel. Min. </w:t>
      </w:r>
      <w:r w:rsidRPr="007204D6">
        <w:rPr>
          <w:rFonts w:ascii="Open Sans" w:hAnsi="Open Sans" w:cs="Open Sans"/>
          <w:sz w:val="24"/>
          <w:szCs w:val="24"/>
        </w:rPr>
        <w:t>Amaury Rodrigues Pinto Junior</w:t>
      </w:r>
      <w:r w:rsidRPr="007204D6">
        <w:rPr>
          <w:rFonts w:ascii="Open Sans" w:eastAsiaTheme="minorHAnsi" w:hAnsi="Open Sans" w:cs="Open Sans"/>
          <w:sz w:val="24"/>
          <w:szCs w:val="24"/>
          <w:lang w:eastAsia="en-US"/>
        </w:rPr>
        <w:t xml:space="preserve">, </w:t>
      </w:r>
      <w:proofErr w:type="gramStart"/>
      <w:r w:rsidRPr="007204D6">
        <w:rPr>
          <w:rFonts w:ascii="Open Sans" w:eastAsiaTheme="minorHAnsi" w:hAnsi="Open Sans" w:cs="Open Sans"/>
          <w:sz w:val="24"/>
          <w:szCs w:val="24"/>
          <w:lang w:eastAsia="en-US"/>
        </w:rPr>
        <w:t>julgado</w:t>
      </w:r>
      <w:proofErr w:type="gramEnd"/>
      <w:r w:rsidRPr="007204D6">
        <w:rPr>
          <w:rFonts w:ascii="Open Sans" w:eastAsiaTheme="minorHAnsi" w:hAnsi="Open Sans" w:cs="Open Sans"/>
          <w:sz w:val="24"/>
          <w:szCs w:val="24"/>
          <w:lang w:eastAsia="en-US"/>
        </w:rPr>
        <w:t xml:space="preserve"> em 9/11/2022) </w:t>
      </w:r>
    </w:p>
    <w:p w:rsidR="0085483A" w:rsidRDefault="0085483A" w:rsidP="007204D6">
      <w:pPr>
        <w:autoSpaceDE/>
        <w:autoSpaceDN/>
        <w:ind w:left="-284" w:right="367"/>
        <w:jc w:val="both"/>
        <w:rPr>
          <w:rFonts w:ascii="Open Sans" w:hAnsi="Open Sans" w:cs="Open Sans"/>
          <w:sz w:val="24"/>
          <w:szCs w:val="24"/>
          <w:u w:val="single"/>
        </w:rPr>
      </w:pPr>
    </w:p>
    <w:p w:rsidR="007204D6" w:rsidRPr="007204D6" w:rsidRDefault="007204D6" w:rsidP="007204D6">
      <w:pPr>
        <w:autoSpaceDE/>
        <w:autoSpaceDN/>
        <w:ind w:left="-284" w:right="367"/>
        <w:jc w:val="both"/>
        <w:rPr>
          <w:rFonts w:ascii="Open Sans" w:eastAsiaTheme="minorHAnsi" w:hAnsi="Open Sans" w:cs="Open Sans"/>
          <w:sz w:val="24"/>
          <w:szCs w:val="24"/>
          <w:lang w:eastAsia="en-US"/>
        </w:rPr>
      </w:pPr>
      <w:r w:rsidRPr="007204D6">
        <w:rPr>
          <w:rFonts w:ascii="Open Sans" w:eastAsiaTheme="minorHAnsi" w:hAnsi="Open Sans" w:cs="Open Sans"/>
          <w:sz w:val="24"/>
          <w:szCs w:val="24"/>
          <w:lang w:eastAsia="en-US"/>
        </w:rPr>
        <w:t xml:space="preserve">“RECURSO DE REVISTA. LEI Nº 13.015/2014. NÃO CONHECIMENTO DO AGRAVO DE PETIÇÃO. EXIGÊNCIA DE DELIMITAÇÃO JUSTIFICADA DE VALORES PELO EXEQUENTE. REQUISITO QUE DEVE SER DESTINADO AO EXECUTADO. OFENSA AO ART. 5º, LV, DA CONSTITUIÇÃO FEDERAL. Nos termos do art. 897, § 1º, da CLT, "O agravo de petição só será recebido quando o agravante delimitar, justificadamente, as matérias e os valores </w:t>
      </w:r>
      <w:proofErr w:type="gramStart"/>
      <w:r w:rsidRPr="007204D6">
        <w:rPr>
          <w:rFonts w:ascii="Open Sans" w:eastAsiaTheme="minorHAnsi" w:hAnsi="Open Sans" w:cs="Open Sans"/>
          <w:sz w:val="24"/>
          <w:szCs w:val="24"/>
          <w:lang w:eastAsia="en-US"/>
        </w:rPr>
        <w:t>impugnados, permitida</w:t>
      </w:r>
      <w:proofErr w:type="gramEnd"/>
      <w:r w:rsidRPr="007204D6">
        <w:rPr>
          <w:rFonts w:ascii="Open Sans" w:eastAsiaTheme="minorHAnsi" w:hAnsi="Open Sans" w:cs="Open Sans"/>
          <w:sz w:val="24"/>
          <w:szCs w:val="24"/>
          <w:lang w:eastAsia="en-US"/>
        </w:rPr>
        <w:t xml:space="preserve"> a execução imediata da parte remanescente até o final, nos próprios autos ou por carta de sentença". Referido dispositivo legal exige, como pressuposto de admissibilidade do agravo de petição, a delimitação justificada das matérias e dos valores impugnados, pela nítida finalidade de possibilitar a execução imediata do valor incontroverso, cuidando-se, portanto, de providência que não se aplica ao exequente, mas sim ao agravo de petição interposto pela parte executada. Precedentes. Recurso de revista conhecido e provido." (</w:t>
      </w:r>
      <w:hyperlink r:id="rId15" w:history="1">
        <w:r w:rsidRPr="007204D6">
          <w:rPr>
            <w:rFonts w:ascii="Open Sans" w:eastAsiaTheme="minorHAnsi" w:hAnsi="Open Sans" w:cs="Open Sans"/>
            <w:color w:val="0000FF" w:themeColor="hyperlink"/>
            <w:sz w:val="24"/>
            <w:szCs w:val="24"/>
            <w:u w:val="single"/>
            <w:lang w:eastAsia="en-US"/>
          </w:rPr>
          <w:t>TST-RR-90400-39.2006.5.05.0017</w:t>
        </w:r>
      </w:hyperlink>
      <w:r w:rsidRPr="007204D6">
        <w:rPr>
          <w:rFonts w:ascii="Open Sans" w:eastAsiaTheme="minorHAnsi" w:hAnsi="Open Sans" w:cs="Open Sans"/>
          <w:sz w:val="24"/>
          <w:szCs w:val="24"/>
          <w:lang w:eastAsia="en-US"/>
        </w:rPr>
        <w:t xml:space="preserve">, 2ª Turma, rel. Min. Maria Helena </w:t>
      </w:r>
      <w:proofErr w:type="spellStart"/>
      <w:r w:rsidRPr="007204D6">
        <w:rPr>
          <w:rFonts w:ascii="Open Sans" w:eastAsiaTheme="minorHAnsi" w:hAnsi="Open Sans" w:cs="Open Sans"/>
          <w:sz w:val="24"/>
          <w:szCs w:val="24"/>
          <w:lang w:eastAsia="en-US"/>
        </w:rPr>
        <w:t>Mallmann</w:t>
      </w:r>
      <w:proofErr w:type="spellEnd"/>
      <w:r w:rsidRPr="007204D6">
        <w:rPr>
          <w:rFonts w:ascii="Open Sans" w:eastAsiaTheme="minorHAnsi" w:hAnsi="Open Sans" w:cs="Open Sans"/>
          <w:sz w:val="24"/>
          <w:szCs w:val="24"/>
          <w:lang w:eastAsia="en-US"/>
        </w:rPr>
        <w:t xml:space="preserve">, julgado em 9/11/2022). </w:t>
      </w:r>
    </w:p>
    <w:p w:rsidR="007204D6" w:rsidRPr="007204D6" w:rsidRDefault="007204D6" w:rsidP="007204D6">
      <w:pPr>
        <w:autoSpaceDE/>
        <w:autoSpaceDN/>
        <w:ind w:left="-284" w:right="367"/>
        <w:jc w:val="both"/>
        <w:rPr>
          <w:rFonts w:ascii="Open Sans" w:hAnsi="Open Sans" w:cs="Open Sans"/>
          <w:sz w:val="24"/>
          <w:szCs w:val="24"/>
          <w:u w:val="single"/>
        </w:rPr>
      </w:pPr>
    </w:p>
    <w:p w:rsidR="007204D6" w:rsidRPr="007204D6" w:rsidRDefault="007204D6" w:rsidP="007204D6">
      <w:pPr>
        <w:autoSpaceDE/>
        <w:autoSpaceDN/>
        <w:ind w:left="-284" w:right="367"/>
        <w:jc w:val="both"/>
        <w:rPr>
          <w:rFonts w:ascii="Open Sans" w:eastAsiaTheme="minorHAnsi" w:hAnsi="Open Sans" w:cs="Open Sans"/>
          <w:sz w:val="24"/>
          <w:szCs w:val="24"/>
          <w:lang w:eastAsia="en-US"/>
        </w:rPr>
      </w:pPr>
      <w:r w:rsidRPr="007204D6">
        <w:rPr>
          <w:rFonts w:ascii="Open Sans" w:eastAsiaTheme="minorHAnsi" w:hAnsi="Open Sans" w:cs="Open Sans"/>
          <w:sz w:val="24"/>
          <w:szCs w:val="24"/>
          <w:lang w:eastAsia="en-US"/>
        </w:rPr>
        <w:lastRenderedPageBreak/>
        <w:t xml:space="preserve">“AGRAVO DE INSTRUMENTO EM RECURSO DE REVISTA - RECLAMAÇÃO TRABALHISTA AJUIZADA APÓS A REFORMA TRABALHISTA – NÃO COMPARECIMENTO INJUSTIFICADO DO RECLAMANTE À AUDIÊNCIA – CONDENAÇÃO AO PAGAMENTO DAS CUSTAS - BENEFICIÁRIO DA JUSTIÇA GRATUITA – DECISÃO DO STF PROFERIDA NA ADI 5766 - CONSTITUCIONALIDADE DO ART. 844, § 2º, DA CLT. </w:t>
      </w:r>
      <w:proofErr w:type="gramStart"/>
      <w:r w:rsidRPr="007204D6">
        <w:rPr>
          <w:rFonts w:ascii="Open Sans" w:eastAsiaTheme="minorHAnsi" w:hAnsi="Open Sans" w:cs="Open Sans"/>
          <w:sz w:val="24"/>
          <w:szCs w:val="24"/>
          <w:lang w:eastAsia="en-US"/>
        </w:rPr>
        <w:t>1</w:t>
      </w:r>
      <w:proofErr w:type="gramEnd"/>
      <w:r w:rsidRPr="007204D6">
        <w:rPr>
          <w:rFonts w:ascii="Open Sans" w:eastAsiaTheme="minorHAnsi" w:hAnsi="Open Sans" w:cs="Open Sans"/>
          <w:sz w:val="24"/>
          <w:szCs w:val="24"/>
          <w:lang w:eastAsia="en-US"/>
        </w:rPr>
        <w:t>. O Tribunal Regional do Trabalho negou provimento ao recurso ordinário interposto pelo reclamante, para manter a condenação ao pagamento das custas processuais, em face do não comparecimento injustificado do autor à audiência, nos termos do art.844, § 2º, da CLT. 2. O Supremo Tribunal Federal, na decisão proferida na Ação de Inconstitucionalidade (ADI 5766/DF), entendeu que é constitucional a cobrança de custas judiciais dos beneficiários da justiça gratuita, quando derem ensejo ao arquivamento do feito, em virtude do não comparecimento injustificado à audiência. Assim, reconheceu a constitucionalidade do art. 844, § 2º, da CLT. 3. Anote-se que a decisão proferida em sede de controle concentrado de constitucionalidade tem eficácia contra todos e efeito vinculante, nos termos do § 2º do art. 102 da Constituição Federal, devendo ser observada em sede administrativa e judicial. 4. Diante do referido julgamento (ADI 5766), que ostenta eficácia contra todos e efeito vinculante (§ 2º do art. 102 da Constituição Federal) e restando oportunizado à parte autora apresentar justificativa para a sua ausência, na forma da parte final do § 2º do art. 884 da CLT, merece ser confirmada a decisão regional. Agravo de instrumento desprovido.” (</w:t>
      </w:r>
      <w:hyperlink r:id="rId16" w:history="1">
        <w:r w:rsidRPr="007204D6">
          <w:rPr>
            <w:rFonts w:ascii="Open Sans" w:eastAsiaTheme="minorHAnsi" w:hAnsi="Open Sans" w:cs="Open Sans"/>
            <w:color w:val="0000FF" w:themeColor="hyperlink"/>
            <w:sz w:val="24"/>
            <w:szCs w:val="24"/>
            <w:u w:val="single"/>
            <w:lang w:eastAsia="en-US"/>
          </w:rPr>
          <w:t>TST-AIRR-1001382-68.2020.5.02.0021</w:t>
        </w:r>
      </w:hyperlink>
      <w:r w:rsidRPr="007204D6">
        <w:rPr>
          <w:rFonts w:ascii="Open Sans" w:eastAsiaTheme="minorHAnsi" w:hAnsi="Open Sans" w:cs="Open Sans"/>
          <w:sz w:val="24"/>
          <w:szCs w:val="24"/>
          <w:lang w:eastAsia="en-US"/>
        </w:rPr>
        <w:t xml:space="preserve">, 2ª Turma, Des. </w:t>
      </w:r>
      <w:proofErr w:type="spellStart"/>
      <w:r w:rsidRPr="007204D6">
        <w:rPr>
          <w:rFonts w:ascii="Open Sans" w:eastAsiaTheme="minorHAnsi" w:hAnsi="Open Sans" w:cs="Open Sans"/>
          <w:sz w:val="24"/>
          <w:szCs w:val="24"/>
          <w:lang w:eastAsia="en-US"/>
        </w:rPr>
        <w:t>Conv</w:t>
      </w:r>
      <w:proofErr w:type="spellEnd"/>
      <w:r w:rsidRPr="007204D6">
        <w:rPr>
          <w:rFonts w:ascii="Open Sans" w:eastAsiaTheme="minorHAnsi" w:hAnsi="Open Sans" w:cs="Open Sans"/>
          <w:sz w:val="24"/>
          <w:szCs w:val="24"/>
          <w:lang w:eastAsia="en-US"/>
        </w:rPr>
        <w:t xml:space="preserve">. Margareth Rodrigues Costa, julgado em 26/10/2022) </w:t>
      </w:r>
    </w:p>
    <w:p w:rsidR="007204D6" w:rsidRPr="007204D6" w:rsidRDefault="007204D6" w:rsidP="007204D6">
      <w:pPr>
        <w:autoSpaceDE/>
        <w:autoSpaceDN/>
        <w:ind w:left="-284" w:right="367"/>
        <w:jc w:val="both"/>
        <w:rPr>
          <w:rFonts w:ascii="Open Sans" w:hAnsi="Open Sans" w:cs="Open Sans"/>
          <w:sz w:val="24"/>
          <w:szCs w:val="24"/>
          <w:u w:val="single"/>
        </w:rPr>
      </w:pPr>
    </w:p>
    <w:p w:rsidR="007204D6" w:rsidRPr="007204D6" w:rsidRDefault="007204D6" w:rsidP="007204D6">
      <w:pPr>
        <w:autoSpaceDE/>
        <w:autoSpaceDN/>
        <w:ind w:left="-284" w:right="367"/>
        <w:jc w:val="both"/>
        <w:rPr>
          <w:rFonts w:ascii="Open Sans" w:eastAsiaTheme="minorHAnsi" w:hAnsi="Open Sans" w:cs="Open Sans"/>
          <w:sz w:val="24"/>
          <w:szCs w:val="24"/>
          <w:lang w:eastAsia="en-US"/>
        </w:rPr>
      </w:pPr>
      <w:r w:rsidRPr="007204D6">
        <w:rPr>
          <w:rFonts w:ascii="Open Sans" w:eastAsiaTheme="minorHAnsi" w:hAnsi="Open Sans" w:cs="Open Sans"/>
          <w:sz w:val="24"/>
          <w:szCs w:val="24"/>
          <w:lang w:eastAsia="en-US"/>
        </w:rPr>
        <w:t>“[</w:t>
      </w:r>
      <w:proofErr w:type="gramStart"/>
      <w:r w:rsidRPr="007204D6">
        <w:rPr>
          <w:rFonts w:ascii="Open Sans" w:eastAsiaTheme="minorHAnsi" w:hAnsi="Open Sans" w:cs="Open Sans"/>
          <w:sz w:val="24"/>
          <w:szCs w:val="24"/>
          <w:lang w:eastAsia="en-US"/>
        </w:rPr>
        <w:t>...] B)</w:t>
      </w:r>
      <w:proofErr w:type="gramEnd"/>
      <w:r w:rsidRPr="007204D6">
        <w:rPr>
          <w:rFonts w:ascii="Open Sans" w:eastAsiaTheme="minorHAnsi" w:hAnsi="Open Sans" w:cs="Open Sans"/>
          <w:sz w:val="24"/>
          <w:szCs w:val="24"/>
          <w:lang w:eastAsia="en-US"/>
        </w:rPr>
        <w:t xml:space="preserve"> RECURSO DE REVISTA. RITO SUMARÍSSIMO. PROCESSO SOB A ÉGIDE DAS LEIS 13.015/2014 E 13.467/2017. LIMITAÇÃO DA CONDENAÇÃO AOS VALORES INDICADOS NA PETIÇÃO INICIAL. ART. 852 - B, I, DA CLT. VALOR APRESENTADO POR ESTIMATIVA. PLEITO DE INDENIZAÇÕES DECORRENTES DE ACIDENTE DE TRABALHO. NECESSIDADE DE INSTRUÇÃO PROBATÓRIA PARA APURAÇÃO DOS VALORES AOS QUAIS TERÁ DIREITO. INCIDÊNCIA DO ART. 324, § 1º, II, DO CPC/2015. INSTRUÇÃO NORMATIVA Nº 41/2018 DO TST. Cinge-se a controvérsia sobre a possibilidade de limitação da condenação aos valores atribuídos, pelo Reclamante, aos pedidos na exordial. Nos processos que tramitam sob o rito sumaríssimo – caso dos presentes autos -, o pedido deve ser “</w:t>
      </w:r>
      <w:r w:rsidRPr="007204D6">
        <w:rPr>
          <w:rFonts w:ascii="Open Sans" w:eastAsiaTheme="minorHAnsi" w:hAnsi="Open Sans" w:cs="Open Sans"/>
          <w:i/>
          <w:sz w:val="24"/>
          <w:szCs w:val="24"/>
          <w:lang w:eastAsia="en-US"/>
        </w:rPr>
        <w:t>certo ou determinado e indicará o valor correspondente</w:t>
      </w:r>
      <w:r w:rsidRPr="007204D6">
        <w:rPr>
          <w:rFonts w:ascii="Open Sans" w:eastAsiaTheme="minorHAnsi" w:hAnsi="Open Sans" w:cs="Open Sans"/>
          <w:sz w:val="24"/>
          <w:szCs w:val="24"/>
          <w:lang w:eastAsia="en-US"/>
        </w:rPr>
        <w:t>”, conforme o teor do art. 852 - B, I, da CLT - que não sofreu alterações pela Lei 13.467/2017. Já o § 1º do artigo 840 da CLT, com redação dada pela Lei nº 13.467/2017 (Reforma Trabalhista), estabelece que: “</w:t>
      </w:r>
      <w:r w:rsidRPr="007204D6">
        <w:rPr>
          <w:rFonts w:ascii="Open Sans" w:eastAsiaTheme="minorHAnsi" w:hAnsi="Open Sans" w:cs="Open Sans"/>
          <w:i/>
          <w:sz w:val="24"/>
          <w:szCs w:val="24"/>
          <w:lang w:eastAsia="en-US"/>
        </w:rPr>
        <w:t>deverá ser certo, determinado e com indicação de seu valor</w:t>
      </w:r>
      <w:r w:rsidRPr="007204D6">
        <w:rPr>
          <w:rFonts w:ascii="Open Sans" w:eastAsiaTheme="minorHAnsi" w:hAnsi="Open Sans" w:cs="Open Sans"/>
          <w:sz w:val="24"/>
          <w:szCs w:val="24"/>
          <w:lang w:eastAsia="en-US"/>
        </w:rPr>
        <w:t>”, sem fazer distinção entre os ritos processuais. A IN 41/2018 desta Corte Superior – que dispõe sobre a aplicação das normas processuais da CLT alteradas pela Lei 13.467/2017 –, em seu art. 12, § 2º, preconiza que, "</w:t>
      </w:r>
      <w:r w:rsidRPr="007204D6">
        <w:rPr>
          <w:rFonts w:ascii="Open Sans" w:eastAsiaTheme="minorHAnsi" w:hAnsi="Open Sans" w:cs="Open Sans"/>
          <w:i/>
          <w:sz w:val="24"/>
          <w:szCs w:val="24"/>
          <w:lang w:eastAsia="en-US"/>
        </w:rPr>
        <w:t xml:space="preserve">para o fim do que dispõe o art. 840, §§ 1º e 2º, da CLT, o valor da causa será estimado, observando-se, no que couber, o disposto nos </w:t>
      </w:r>
      <w:proofErr w:type="spellStart"/>
      <w:r w:rsidRPr="007204D6">
        <w:rPr>
          <w:rFonts w:ascii="Open Sans" w:eastAsiaTheme="minorHAnsi" w:hAnsi="Open Sans" w:cs="Open Sans"/>
          <w:i/>
          <w:sz w:val="24"/>
          <w:szCs w:val="24"/>
          <w:lang w:eastAsia="en-US"/>
        </w:rPr>
        <w:t>arts</w:t>
      </w:r>
      <w:proofErr w:type="spellEnd"/>
      <w:r w:rsidRPr="007204D6">
        <w:rPr>
          <w:rFonts w:ascii="Open Sans" w:eastAsiaTheme="minorHAnsi" w:hAnsi="Open Sans" w:cs="Open Sans"/>
          <w:i/>
          <w:sz w:val="24"/>
          <w:szCs w:val="24"/>
          <w:lang w:eastAsia="en-US"/>
        </w:rPr>
        <w:t xml:space="preserve">. </w:t>
      </w:r>
      <w:proofErr w:type="gramStart"/>
      <w:r w:rsidRPr="007204D6">
        <w:rPr>
          <w:rFonts w:ascii="Open Sans" w:eastAsiaTheme="minorHAnsi" w:hAnsi="Open Sans" w:cs="Open Sans"/>
          <w:i/>
          <w:sz w:val="24"/>
          <w:szCs w:val="24"/>
          <w:lang w:eastAsia="en-US"/>
        </w:rPr>
        <w:t>291 a 293 do Código de Processo Civil</w:t>
      </w:r>
      <w:r w:rsidRPr="007204D6">
        <w:rPr>
          <w:rFonts w:ascii="Open Sans" w:eastAsiaTheme="minorHAnsi" w:hAnsi="Open Sans" w:cs="Open Sans"/>
          <w:sz w:val="24"/>
          <w:szCs w:val="24"/>
          <w:lang w:eastAsia="en-US"/>
        </w:rPr>
        <w:t>"</w:t>
      </w:r>
      <w:proofErr w:type="gramEnd"/>
      <w:r w:rsidRPr="007204D6">
        <w:rPr>
          <w:rFonts w:ascii="Open Sans" w:eastAsiaTheme="minorHAnsi" w:hAnsi="Open Sans" w:cs="Open Sans"/>
          <w:sz w:val="24"/>
          <w:szCs w:val="24"/>
          <w:lang w:eastAsia="en-US"/>
        </w:rPr>
        <w:t xml:space="preserve">. Constata-se, portanto, que as regras processuais não impõem à Parte Autora o dever de liquidar cada pedido. Ou seja, a Lei não exige a </w:t>
      </w:r>
      <w:r w:rsidRPr="007204D6">
        <w:rPr>
          <w:rFonts w:ascii="Open Sans" w:eastAsiaTheme="minorHAnsi" w:hAnsi="Open Sans" w:cs="Open Sans"/>
          <w:sz w:val="24"/>
          <w:szCs w:val="24"/>
          <w:lang w:eastAsia="en-US"/>
        </w:rPr>
        <w:lastRenderedPageBreak/>
        <w:t xml:space="preserve">apresentação de pedido com indicação precisa de valores, mas apenas que o valor seja indicado na petição inicial, ainda que por estimativa. </w:t>
      </w:r>
      <w:r w:rsidRPr="007204D6">
        <w:rPr>
          <w:rFonts w:ascii="Open Sans" w:eastAsiaTheme="minorHAnsi" w:hAnsi="Open Sans" w:cs="Open Sans"/>
          <w:bCs/>
          <w:sz w:val="24"/>
          <w:szCs w:val="24"/>
          <w:lang w:eastAsia="en-US"/>
        </w:rPr>
        <w:t xml:space="preserve">Nesse contexto, não é possível exigir do Reclamante a apresentação de um valor líquido e preciso para cada pedido, quando, no ato de propositura da reclamação trabalhista, ainda seria necessário que fosse realizada prova pericial, a fim de determinar o grau de incapacidade laboral sofrido, a sua extensão, o nexo causal ou </w:t>
      </w:r>
      <w:proofErr w:type="spellStart"/>
      <w:r w:rsidRPr="007204D6">
        <w:rPr>
          <w:rFonts w:ascii="Open Sans" w:eastAsiaTheme="minorHAnsi" w:hAnsi="Open Sans" w:cs="Open Sans"/>
          <w:bCs/>
          <w:sz w:val="24"/>
          <w:szCs w:val="24"/>
          <w:lang w:eastAsia="en-US"/>
        </w:rPr>
        <w:t>concausal</w:t>
      </w:r>
      <w:proofErr w:type="spellEnd"/>
      <w:r w:rsidRPr="007204D6">
        <w:rPr>
          <w:rFonts w:ascii="Open Sans" w:eastAsiaTheme="minorHAnsi" w:hAnsi="Open Sans" w:cs="Open Sans"/>
          <w:bCs/>
          <w:sz w:val="24"/>
          <w:szCs w:val="24"/>
          <w:lang w:eastAsia="en-US"/>
        </w:rPr>
        <w:t xml:space="preserve"> – premissas que influenciarão no valor da pensão a ser fixado. Em situações como a presente, em que o Reclamante depende de atos a serem praticados em dilação probatória para quantificar o montante indenizatório ao qual terá direito, há que se utilizar, por analogia, o teor do art. 324, § 1º, II, do CPC/2015, que autoriza que a Parte apresente pedido genérico, nos seguintes termos: </w:t>
      </w:r>
      <w:r w:rsidRPr="007204D6">
        <w:rPr>
          <w:rFonts w:ascii="Open Sans" w:eastAsiaTheme="minorHAnsi" w:hAnsi="Open Sans" w:cs="Open Sans"/>
          <w:bCs/>
          <w:i/>
          <w:sz w:val="24"/>
          <w:szCs w:val="24"/>
          <w:lang w:eastAsia="en-US"/>
        </w:rPr>
        <w:t>“quando não for possível determinar, desde logo, as consequências do ato ou do fato</w:t>
      </w:r>
      <w:r w:rsidRPr="007204D6">
        <w:rPr>
          <w:rFonts w:ascii="Open Sans" w:eastAsiaTheme="minorHAnsi" w:hAnsi="Open Sans" w:cs="Open Sans"/>
          <w:bCs/>
          <w:sz w:val="24"/>
          <w:szCs w:val="24"/>
          <w:lang w:eastAsia="en-US"/>
        </w:rPr>
        <w:t xml:space="preserve">.” </w:t>
      </w:r>
      <w:r w:rsidRPr="007204D6">
        <w:rPr>
          <w:rFonts w:ascii="Open Sans" w:eastAsiaTheme="minorHAnsi" w:hAnsi="Open Sans" w:cs="Open Sans"/>
          <w:sz w:val="24"/>
          <w:szCs w:val="24"/>
          <w:lang w:eastAsia="en-US"/>
        </w:rPr>
        <w:t xml:space="preserve">Logo, o afastamento da limitação da condenação ao valor indicado na petição inicial, não configura julgamento </w:t>
      </w:r>
      <w:r w:rsidRPr="007204D6">
        <w:rPr>
          <w:rFonts w:ascii="Open Sans" w:eastAsiaTheme="minorHAnsi" w:hAnsi="Open Sans" w:cs="Open Sans"/>
          <w:i/>
          <w:sz w:val="24"/>
          <w:szCs w:val="24"/>
          <w:lang w:eastAsia="en-US"/>
        </w:rPr>
        <w:t>ultra petita</w:t>
      </w:r>
      <w:r w:rsidRPr="007204D6">
        <w:rPr>
          <w:rFonts w:ascii="Open Sans" w:eastAsiaTheme="minorHAnsi" w:hAnsi="Open Sans" w:cs="Open Sans"/>
          <w:sz w:val="24"/>
          <w:szCs w:val="24"/>
          <w:lang w:eastAsia="en-US"/>
        </w:rPr>
        <w:t xml:space="preserve"> porquanto os valores indicados na reclamação trabalhista foram apresentados como uma mera estimativa e não impediram a Parte Reclamada de exercer a ampla defesa e o contraditório (art. 5º, LV da CF), expondo as impugnações e argumentos de fato e de direito que entendeu pertinentes ao caso. Logo, sopesando que os montantes delimitados na exordial são considerados mera estimativa dos créditos pretendidos pelo Autor, conclui-se que, ao limitar o valor da pensão mensal ao montante indicado no pedido, o Juízo de origem incorreu em ofensa ao pleno exercício do direito da Parte (art. 5°, LIV, CF). Recurso de revista conhecido e provido quanto ao tema.” (</w:t>
      </w:r>
      <w:hyperlink r:id="rId17" w:history="1">
        <w:r w:rsidRPr="007204D6">
          <w:rPr>
            <w:rFonts w:ascii="Open Sans" w:eastAsiaTheme="minorHAnsi" w:hAnsi="Open Sans" w:cs="Open Sans"/>
            <w:color w:val="0000FF" w:themeColor="hyperlink"/>
            <w:sz w:val="24"/>
            <w:szCs w:val="24"/>
            <w:u w:val="single"/>
            <w:lang w:eastAsia="en-US"/>
          </w:rPr>
          <w:t>TST-RR-1337-87.2019.5.12.0005</w:t>
        </w:r>
      </w:hyperlink>
      <w:r w:rsidRPr="007204D6">
        <w:rPr>
          <w:rFonts w:ascii="Open Sans" w:eastAsiaTheme="minorHAnsi" w:hAnsi="Open Sans" w:cs="Open Sans"/>
          <w:sz w:val="24"/>
          <w:szCs w:val="24"/>
          <w:lang w:eastAsia="en-US"/>
        </w:rPr>
        <w:t xml:space="preserve">, 3ª Turma, rel. Min. </w:t>
      </w:r>
      <w:r w:rsidRPr="007204D6">
        <w:rPr>
          <w:rFonts w:ascii="Open Sans" w:hAnsi="Open Sans" w:cs="Open Sans"/>
          <w:sz w:val="24"/>
          <w:szCs w:val="24"/>
        </w:rPr>
        <w:t>Mauricio Godinho Delgado</w:t>
      </w:r>
      <w:r w:rsidRPr="007204D6">
        <w:rPr>
          <w:rFonts w:ascii="Open Sans" w:eastAsiaTheme="minorHAnsi" w:hAnsi="Open Sans" w:cs="Open Sans"/>
          <w:sz w:val="24"/>
          <w:szCs w:val="24"/>
          <w:lang w:eastAsia="en-US"/>
        </w:rPr>
        <w:t>, julgado em 09/11/2022</w:t>
      </w:r>
      <w:proofErr w:type="gramStart"/>
      <w:r w:rsidRPr="007204D6">
        <w:rPr>
          <w:rFonts w:ascii="Open Sans" w:eastAsiaTheme="minorHAnsi" w:hAnsi="Open Sans" w:cs="Open Sans"/>
          <w:sz w:val="24"/>
          <w:szCs w:val="24"/>
          <w:lang w:eastAsia="en-US"/>
        </w:rPr>
        <w:t>)</w:t>
      </w:r>
      <w:proofErr w:type="gramEnd"/>
    </w:p>
    <w:p w:rsidR="007204D6" w:rsidRPr="007204D6" w:rsidRDefault="007204D6" w:rsidP="007204D6">
      <w:pPr>
        <w:autoSpaceDE/>
        <w:autoSpaceDN/>
        <w:ind w:left="-284" w:right="367"/>
        <w:jc w:val="both"/>
        <w:rPr>
          <w:rFonts w:ascii="Open Sans" w:hAnsi="Open Sans" w:cs="Open Sans"/>
          <w:sz w:val="24"/>
          <w:szCs w:val="24"/>
          <w:u w:val="single"/>
        </w:rPr>
      </w:pPr>
    </w:p>
    <w:p w:rsidR="007204D6" w:rsidRPr="007204D6" w:rsidRDefault="007204D6" w:rsidP="007204D6">
      <w:pPr>
        <w:autoSpaceDE/>
        <w:autoSpaceDN/>
        <w:ind w:left="-284" w:right="367"/>
        <w:jc w:val="both"/>
        <w:rPr>
          <w:rFonts w:ascii="Open Sans" w:eastAsiaTheme="minorHAnsi" w:hAnsi="Open Sans" w:cs="Open Sans"/>
          <w:sz w:val="24"/>
          <w:szCs w:val="24"/>
          <w:lang w:eastAsia="en-US"/>
        </w:rPr>
      </w:pPr>
      <w:r w:rsidRPr="007204D6">
        <w:rPr>
          <w:rFonts w:ascii="Open Sans" w:eastAsiaTheme="minorHAnsi" w:hAnsi="Open Sans" w:cs="Open Sans"/>
          <w:sz w:val="24"/>
          <w:szCs w:val="24"/>
          <w:lang w:eastAsia="en-US"/>
        </w:rPr>
        <w:t>“[</w:t>
      </w:r>
      <w:proofErr w:type="gramStart"/>
      <w:r w:rsidRPr="007204D6">
        <w:rPr>
          <w:rFonts w:ascii="Open Sans" w:eastAsiaTheme="minorHAnsi" w:hAnsi="Open Sans" w:cs="Open Sans"/>
          <w:sz w:val="24"/>
          <w:szCs w:val="24"/>
          <w:lang w:eastAsia="en-US"/>
        </w:rPr>
        <w:t>...] B)</w:t>
      </w:r>
      <w:proofErr w:type="gramEnd"/>
      <w:r w:rsidRPr="007204D6">
        <w:rPr>
          <w:rFonts w:ascii="Open Sans" w:eastAsiaTheme="minorHAnsi" w:hAnsi="Open Sans" w:cs="Open Sans"/>
          <w:sz w:val="24"/>
          <w:szCs w:val="24"/>
          <w:lang w:eastAsia="en-US"/>
        </w:rPr>
        <w:t xml:space="preserve"> RECURSO DE REVISTA. PROCESSO SOB A ÉGIDE DA LEI 13.015/2014 E ANTERIOR À LEI 13.467/2017. 1. DANOS MORAIS. ASSALTOS SOFRIDOS DURANTE O TRABALHO POR FARMACÊUTICA. RESPONSABILIDADE CIVIL DO EMPREGADOR. A indenização por dano moral e material resultante de acidente do trabalho e/ou doença profissional ou ocupacional supõe a presença de três requisitos: a) ocorrência do fato deflagrador do dano ou do próprio dano, que se constata pelo fato da doença ou do acidente, os quais, por si sós, agridem o patrimônio moral e emocional da pessoa trabalhadora (nesse sentido, o dano moral, em tais casos, verifica-se pela própria circunstância da ocorrência do malefício físico ou psíquico); b) nexo causal, que se evidencia pela circunstância de o malefício ter ocorrido em face das circunstâncias laborativas; c) culpa empresarial, a qual se presume em face das circunstâncias ambientais adversas que deram origem ao malefício. Na hipótese, é incontroverso nos autos que a Reclamante, durante o labor na Reclamada que atua no ramo de farmácias, foi, no período de duas semanas, vítima de 4 (quatro) assaltos, o que lhe causou perturbação mental. Cinge-se a controvérsia à responsabilidade civil da Reclamada pelos eventos ocorridos e as consequências dele advindas. A jurisprudência do TST considera que a atividade empresarial desenvolvida em farmácias não se caracteriza, por sua natureza, como atividade de risco, devendo, portanto, ser apurada a culpa do empregador no </w:t>
      </w:r>
      <w:r w:rsidRPr="007204D6">
        <w:rPr>
          <w:rFonts w:ascii="Open Sans" w:eastAsiaTheme="minorHAnsi" w:hAnsi="Open Sans" w:cs="Open Sans"/>
          <w:sz w:val="24"/>
          <w:szCs w:val="24"/>
          <w:lang w:eastAsia="en-US"/>
        </w:rPr>
        <w:lastRenderedPageBreak/>
        <w:t xml:space="preserve">caso concreto. Ou seja, não há falar em responsabilidade civil objetiva da Reclamada. Para a configuração da sua responsabilidade civil, além do dano e do nexo causal (presentes no caso concreto), seria necessária a constatação de uma omissão grave que destoasse da expectativa mínima de zelo do empregador em relação ao seu dever de cautela: insuficiência das medidas acautelatórias de segurança, omissão relativa à proteção da integridade física do trabalhador, etc. </w:t>
      </w:r>
      <w:r w:rsidRPr="007204D6">
        <w:rPr>
          <w:rFonts w:ascii="Open Sans" w:eastAsiaTheme="minorHAnsi" w:hAnsi="Open Sans" w:cs="Open Sans"/>
          <w:sz w:val="24"/>
          <w:szCs w:val="24"/>
          <w:u w:val="single"/>
          <w:lang w:eastAsia="en-US"/>
        </w:rPr>
        <w:t>No caso dos autos</w:t>
      </w:r>
      <w:r w:rsidRPr="007204D6">
        <w:rPr>
          <w:rFonts w:ascii="Open Sans" w:eastAsiaTheme="minorHAnsi" w:hAnsi="Open Sans" w:cs="Open Sans"/>
          <w:sz w:val="24"/>
          <w:szCs w:val="24"/>
          <w:lang w:eastAsia="en-US"/>
        </w:rPr>
        <w:t xml:space="preserve">, o acórdão regional </w:t>
      </w:r>
      <w:r w:rsidRPr="007204D6">
        <w:rPr>
          <w:rFonts w:ascii="Open Sans" w:eastAsiaTheme="minorHAnsi" w:hAnsi="Open Sans" w:cs="Open Sans"/>
          <w:sz w:val="24"/>
          <w:szCs w:val="24"/>
          <w:u w:val="single"/>
          <w:lang w:eastAsia="en-US"/>
        </w:rPr>
        <w:t>não</w:t>
      </w:r>
      <w:r w:rsidRPr="007204D6">
        <w:rPr>
          <w:rFonts w:ascii="Open Sans" w:eastAsiaTheme="minorHAnsi" w:hAnsi="Open Sans" w:cs="Open Sans"/>
          <w:sz w:val="24"/>
          <w:szCs w:val="24"/>
          <w:lang w:eastAsia="en-US"/>
        </w:rPr>
        <w:t xml:space="preserve"> noticia a </w:t>
      </w:r>
      <w:proofErr w:type="gramStart"/>
      <w:r w:rsidRPr="007204D6">
        <w:rPr>
          <w:rFonts w:ascii="Open Sans" w:eastAsiaTheme="minorHAnsi" w:hAnsi="Open Sans" w:cs="Open Sans"/>
          <w:sz w:val="24"/>
          <w:szCs w:val="24"/>
          <w:lang w:eastAsia="en-US"/>
        </w:rPr>
        <w:t>existência</w:t>
      </w:r>
      <w:proofErr w:type="gramEnd"/>
      <w:r w:rsidRPr="007204D6">
        <w:rPr>
          <w:rFonts w:ascii="Open Sans" w:eastAsiaTheme="minorHAnsi" w:hAnsi="Open Sans" w:cs="Open Sans"/>
          <w:sz w:val="24"/>
          <w:szCs w:val="24"/>
          <w:lang w:eastAsia="en-US"/>
        </w:rPr>
        <w:t xml:space="preserve"> de algum tipo de segurança no local de trabalho da Reclamante adotada pela Reclamada. Destaca-se que não consta sequer registro de que após o primeiro assalto a Reclamada tenha tomado quaisquer medidas básicas de inibição de ações criminosas. Assim, da leitura cuidadosa do acórdão regional, verifica-se evidenciada a conduta culposa da Reclamada, resultante do fato desta não ter adotado medidas aptas a prevenir a ocorrência dos assaltos e a garantir a segurança física de sua empregada no desempenho da atividade. Constatados, portanto, o dano, a culpa empresarial e o nexo causal, consequentemente há o dever de indenizar. Recurso de revista conhecido e provido no aspecto. 2. ASSALTOS SOFRIDOS DURANTE O TRABALHO POR FARMACEUTICA. RESCISÃO INDIRETA. O art. 483 da CLT, em suas alíneas "a" até "g", arrola os tipos jurídicos das infrações empresariais, passíveis de ensejar a rescisão indireta do contrato. Tais hipóteses preveem as fronteiras que não podem ser ultrapassadas pelo empregador. Consiste um desses tipos no caso de o empregador submeter o empregado a perigo manifesto de mal considerável (alínea "c"), que ocorre quando, pelas condições do ambiente </w:t>
      </w:r>
      <w:proofErr w:type="spellStart"/>
      <w:r w:rsidRPr="007204D6">
        <w:rPr>
          <w:rFonts w:ascii="Open Sans" w:eastAsiaTheme="minorHAnsi" w:hAnsi="Open Sans" w:cs="Open Sans"/>
          <w:sz w:val="24"/>
          <w:szCs w:val="24"/>
          <w:lang w:eastAsia="en-US"/>
        </w:rPr>
        <w:t>laborativo</w:t>
      </w:r>
      <w:proofErr w:type="spellEnd"/>
      <w:r w:rsidRPr="007204D6">
        <w:rPr>
          <w:rFonts w:ascii="Open Sans" w:eastAsiaTheme="minorHAnsi" w:hAnsi="Open Sans" w:cs="Open Sans"/>
          <w:sz w:val="24"/>
          <w:szCs w:val="24"/>
          <w:lang w:eastAsia="en-US"/>
        </w:rPr>
        <w:t xml:space="preserve"> ou pelo exercício de certa atividade ou tarefa, o empregado corre risco não previsto no contrato, ou que poderia ser evitado. No caso concreto, a solução da controvérsia consiste em aferir se a situação vivenciada pela Reclamante permite a rescisão indireta, com fundamento no art. 483, "c", da CLT. É incontroverso nos autos que a Reclamante, no período de duas semanas, foi vítima de </w:t>
      </w:r>
      <w:proofErr w:type="gramStart"/>
      <w:r w:rsidRPr="007204D6">
        <w:rPr>
          <w:rFonts w:ascii="Open Sans" w:eastAsiaTheme="minorHAnsi" w:hAnsi="Open Sans" w:cs="Open Sans"/>
          <w:sz w:val="24"/>
          <w:szCs w:val="24"/>
          <w:lang w:eastAsia="en-US"/>
        </w:rPr>
        <w:t>4</w:t>
      </w:r>
      <w:proofErr w:type="gramEnd"/>
      <w:r w:rsidRPr="007204D6">
        <w:rPr>
          <w:rFonts w:ascii="Open Sans" w:eastAsiaTheme="minorHAnsi" w:hAnsi="Open Sans" w:cs="Open Sans"/>
          <w:sz w:val="24"/>
          <w:szCs w:val="24"/>
          <w:lang w:eastAsia="en-US"/>
        </w:rPr>
        <w:t xml:space="preserve"> (quatro) assaltos, que lhe causou perturbação mental. Conforme resultou fundamentado quando do exame do tópico atinente à “indenização por danos morais”, é ostensiva a ausência de informação, no acórdão regional, de adoção pela Reclamada de medidas mínimas de segurança aptas a prevenir a ocorrência dos assaltos e a proteger a integridade física de sua empregada no desempenho da atividade. Assim, constatada a negligência da Reclamada, diante da manifesta insegurança do ambiente de trabalho, decorrente de sua omissão relativamente ao dever de cautela – insuficiência das medidas acautelatórias de segurança; omissão relativa à proteção da integridade física do trabalhador –, deve ser reconhecida a ocorrência de rescisão indireta do contrato de trabalho, nos moldes do art. 483, "c", da CLT. </w:t>
      </w:r>
      <w:proofErr w:type="gramStart"/>
      <w:r w:rsidRPr="007204D6">
        <w:rPr>
          <w:rFonts w:ascii="Open Sans" w:eastAsiaTheme="minorHAnsi" w:hAnsi="Open Sans" w:cs="Open Sans"/>
          <w:sz w:val="24"/>
          <w:szCs w:val="24"/>
          <w:lang w:eastAsia="en-US"/>
        </w:rPr>
        <w:t>Recurso de revista conhecido e provido no aspecto.”</w:t>
      </w:r>
      <w:proofErr w:type="gramEnd"/>
      <w:r w:rsidRPr="007204D6">
        <w:rPr>
          <w:rFonts w:ascii="Open Sans" w:eastAsiaTheme="minorHAnsi" w:hAnsi="Open Sans" w:cs="Open Sans"/>
          <w:sz w:val="24"/>
          <w:szCs w:val="24"/>
          <w:lang w:eastAsia="en-US"/>
        </w:rPr>
        <w:t xml:space="preserve"> (</w:t>
      </w:r>
      <w:hyperlink r:id="rId18" w:history="1">
        <w:r w:rsidRPr="007204D6">
          <w:rPr>
            <w:rFonts w:ascii="Open Sans" w:eastAsiaTheme="minorHAnsi" w:hAnsi="Open Sans" w:cs="Open Sans"/>
            <w:color w:val="0000FF" w:themeColor="hyperlink"/>
            <w:sz w:val="24"/>
            <w:szCs w:val="24"/>
            <w:u w:val="single"/>
            <w:lang w:eastAsia="en-US"/>
          </w:rPr>
          <w:t>TST-RR-10760-10.2016.5.03.0108</w:t>
        </w:r>
      </w:hyperlink>
      <w:r w:rsidRPr="007204D6">
        <w:rPr>
          <w:rFonts w:ascii="Open Sans" w:eastAsiaTheme="minorHAnsi" w:hAnsi="Open Sans" w:cs="Open Sans"/>
          <w:sz w:val="24"/>
          <w:szCs w:val="24"/>
          <w:lang w:eastAsia="en-US"/>
        </w:rPr>
        <w:t>, 3ª Turma, rel. Min.</w:t>
      </w:r>
      <w:r w:rsidRPr="007204D6">
        <w:rPr>
          <w:rFonts w:ascii="Open Sans" w:hAnsi="Open Sans" w:cs="Open Sans"/>
          <w:sz w:val="24"/>
          <w:szCs w:val="24"/>
        </w:rPr>
        <w:t xml:space="preserve"> Mauricio Godinho Delgado</w:t>
      </w:r>
      <w:r w:rsidRPr="007204D6">
        <w:rPr>
          <w:rFonts w:ascii="Open Sans" w:eastAsiaTheme="minorHAnsi" w:hAnsi="Open Sans" w:cs="Open Sans"/>
          <w:sz w:val="24"/>
          <w:szCs w:val="24"/>
          <w:lang w:eastAsia="en-US"/>
        </w:rPr>
        <w:t xml:space="preserve">, julgado em 09/11/2022) </w:t>
      </w:r>
    </w:p>
    <w:p w:rsidR="007204D6" w:rsidRPr="007204D6" w:rsidRDefault="007204D6" w:rsidP="007204D6">
      <w:pPr>
        <w:autoSpaceDE/>
        <w:autoSpaceDN/>
        <w:ind w:left="-284" w:right="367"/>
        <w:jc w:val="both"/>
        <w:rPr>
          <w:rFonts w:ascii="Open Sans" w:hAnsi="Open Sans" w:cs="Open Sans"/>
          <w:sz w:val="24"/>
          <w:szCs w:val="24"/>
          <w:u w:val="single"/>
        </w:rPr>
      </w:pPr>
    </w:p>
    <w:p w:rsidR="007204D6" w:rsidRPr="007204D6" w:rsidRDefault="007204D6" w:rsidP="007204D6">
      <w:pPr>
        <w:autoSpaceDE/>
        <w:autoSpaceDN/>
        <w:ind w:left="-284" w:right="367"/>
        <w:jc w:val="both"/>
        <w:rPr>
          <w:rFonts w:ascii="Open Sans" w:eastAsiaTheme="minorHAnsi" w:hAnsi="Open Sans" w:cs="Open Sans"/>
          <w:sz w:val="24"/>
          <w:szCs w:val="24"/>
          <w:lang w:eastAsia="en-US"/>
        </w:rPr>
      </w:pPr>
      <w:r w:rsidRPr="007204D6">
        <w:rPr>
          <w:rFonts w:ascii="Open Sans" w:eastAsiaTheme="minorHAnsi" w:hAnsi="Open Sans" w:cs="Open Sans"/>
          <w:sz w:val="24"/>
          <w:szCs w:val="24"/>
          <w:lang w:eastAsia="en-US"/>
        </w:rPr>
        <w:t xml:space="preserve">“[...] RECURSO DE REVISTA INTERPOSTO PELO MINISTÉRIO PÚBLICO DO TRABALHO DA 23ª REGIÃO SOB A ÉGIDE DA LEI Nº 13.467/2017. AÇÃO CIVIL PÚBLICA. DANOS MORAIS </w:t>
      </w:r>
      <w:r w:rsidRPr="007204D6">
        <w:rPr>
          <w:rFonts w:ascii="Open Sans" w:eastAsiaTheme="minorHAnsi" w:hAnsi="Open Sans" w:cs="Open Sans"/>
          <w:sz w:val="24"/>
          <w:szCs w:val="24"/>
          <w:lang w:eastAsia="en-US"/>
        </w:rPr>
        <w:lastRenderedPageBreak/>
        <w:t xml:space="preserve">COLETIVOS. IRREGULARIDADES ATINENTES AO MEIO AMBIENTE DE TRABALHO. PRETENSÃO JULGADA IMPROCEDENTE EM VIRTUDE DA PRESUNÇÃO DE QUE A APLICAÇÃO DE SANÇÃO AOS RÉUS PIORARIA A PRESTAÇÃO DO SERVIÇO PÚBLICO DE SAÚDE. Ao apreciar a controvérsia alusiva à indenização por danos morais coletivos, o Regional julgou a ação improcedente ao fundamento de que o "pagamento de indenização por dano moral coletivo traria um maior prejuízo à coletividade, na medida em que causaria um impacto no orçamento da saúde estadual, o qual se encontra notoriamente defasado, prejudicando não apenas os trabalhadores do Hospital Regional de Sinop, mas toda a população </w:t>
      </w:r>
      <w:proofErr w:type="spellStart"/>
      <w:r w:rsidRPr="007204D6">
        <w:rPr>
          <w:rFonts w:ascii="Open Sans" w:eastAsiaTheme="minorHAnsi" w:hAnsi="Open Sans" w:cs="Open Sans"/>
          <w:sz w:val="24"/>
          <w:szCs w:val="24"/>
          <w:lang w:eastAsia="en-US"/>
        </w:rPr>
        <w:t>matogrossense</w:t>
      </w:r>
      <w:proofErr w:type="spellEnd"/>
      <w:r w:rsidRPr="007204D6">
        <w:rPr>
          <w:rFonts w:ascii="Open Sans" w:eastAsiaTheme="minorHAnsi" w:hAnsi="Open Sans" w:cs="Open Sans"/>
          <w:sz w:val="24"/>
          <w:szCs w:val="24"/>
          <w:lang w:eastAsia="en-US"/>
        </w:rPr>
        <w:t xml:space="preserve"> que utiliza a rede pública de saúde", bem como de que seria também contraproducente "a eventual condenação de entidade beneficente de assistência social, como a 1ª ré (Fundação de Saúde Comunitária de Sinop), já que se trata de entidade sem fins lucrativos que tem como finalidade precípua a assistência às pessoas necessitadas". Ora, uma vez verificado pela Vara do Trabalho de origem que foram comprovadas irregularidades capazes de comprometer gravemente o meio ambiente de trabalho, e sendo certo que elas não foram negadas, mas sim apenas relevadas pelo acórdão regional, então há ilicitude a ensejar a condenação à indenização por danos morais pelo Estado do Mato Grosso, que permanece como responsável indireto pelo Hospital Regional de Sinop. Realmente, a situação financeira daquele réu é fator a ser considerado apenas na mensuração do </w:t>
      </w:r>
      <w:r w:rsidRPr="007204D6">
        <w:rPr>
          <w:rFonts w:ascii="Open Sans" w:eastAsiaTheme="minorHAnsi" w:hAnsi="Open Sans" w:cs="Open Sans"/>
          <w:i/>
          <w:sz w:val="24"/>
          <w:szCs w:val="24"/>
          <w:lang w:eastAsia="en-US"/>
        </w:rPr>
        <w:t>quantum</w:t>
      </w:r>
      <w:r w:rsidRPr="007204D6">
        <w:rPr>
          <w:rFonts w:ascii="Open Sans" w:eastAsiaTheme="minorHAnsi" w:hAnsi="Open Sans" w:cs="Open Sans"/>
          <w:sz w:val="24"/>
          <w:szCs w:val="24"/>
          <w:lang w:eastAsia="en-US"/>
        </w:rPr>
        <w:t xml:space="preserve"> devido, mas não para ensejar a improcedência da pretensão, como entendeu o Regional. Já no tocante à Fundação de Saúde Comunitária de Sinop, porém, como já não era mais responsável pela gestão do Hospital Regional de Sinop à época do ajuizamento da ação civil pública (sendo certo que aquele hospital não havia sido encampado, mas </w:t>
      </w:r>
      <w:proofErr w:type="gramStart"/>
      <w:r w:rsidRPr="007204D6">
        <w:rPr>
          <w:rFonts w:ascii="Open Sans" w:eastAsiaTheme="minorHAnsi" w:hAnsi="Open Sans" w:cs="Open Sans"/>
          <w:sz w:val="24"/>
          <w:szCs w:val="24"/>
          <w:lang w:eastAsia="en-US"/>
        </w:rPr>
        <w:t>sim</w:t>
      </w:r>
      <w:proofErr w:type="gramEnd"/>
      <w:r w:rsidRPr="007204D6">
        <w:rPr>
          <w:rFonts w:ascii="Open Sans" w:eastAsiaTheme="minorHAnsi" w:hAnsi="Open Sans" w:cs="Open Sans"/>
          <w:sz w:val="24"/>
          <w:szCs w:val="24"/>
          <w:lang w:eastAsia="en-US"/>
        </w:rPr>
        <w:t xml:space="preserve"> </w:t>
      </w:r>
      <w:proofErr w:type="gramStart"/>
      <w:r w:rsidRPr="007204D6">
        <w:rPr>
          <w:rFonts w:ascii="Open Sans" w:eastAsiaTheme="minorHAnsi" w:hAnsi="Open Sans" w:cs="Open Sans"/>
          <w:sz w:val="24"/>
          <w:szCs w:val="24"/>
          <w:lang w:eastAsia="en-US"/>
        </w:rPr>
        <w:t>apenas</w:t>
      </w:r>
      <w:proofErr w:type="gramEnd"/>
      <w:r w:rsidRPr="007204D6">
        <w:rPr>
          <w:rFonts w:ascii="Open Sans" w:eastAsiaTheme="minorHAnsi" w:hAnsi="Open Sans" w:cs="Open Sans"/>
          <w:sz w:val="24"/>
          <w:szCs w:val="24"/>
          <w:lang w:eastAsia="en-US"/>
        </w:rPr>
        <w:t xml:space="preserve"> tido sua gestão passada para outra entidade, a saber, o Instituto Gerir), não há tampouco como responder por danos morais coletivos, dado o aspecto predominantemente inibitório dessa sanção. </w:t>
      </w:r>
      <w:proofErr w:type="gramStart"/>
      <w:r w:rsidRPr="007204D6">
        <w:rPr>
          <w:rFonts w:ascii="Open Sans" w:eastAsiaTheme="minorHAnsi" w:hAnsi="Open Sans" w:cs="Open Sans"/>
          <w:sz w:val="24"/>
          <w:szCs w:val="24"/>
          <w:lang w:eastAsia="en-US"/>
        </w:rPr>
        <w:t>Recurso de revista conhecido e provido parcialmente.”</w:t>
      </w:r>
      <w:proofErr w:type="gramEnd"/>
      <w:r w:rsidRPr="007204D6">
        <w:rPr>
          <w:rFonts w:ascii="Open Sans" w:eastAsiaTheme="minorHAnsi" w:hAnsi="Open Sans" w:cs="Open Sans"/>
          <w:sz w:val="24"/>
          <w:szCs w:val="24"/>
          <w:lang w:eastAsia="en-US"/>
        </w:rPr>
        <w:t xml:space="preserve"> (</w:t>
      </w:r>
      <w:hyperlink r:id="rId19" w:history="1">
        <w:r w:rsidRPr="007204D6">
          <w:rPr>
            <w:rFonts w:ascii="Open Sans" w:eastAsiaTheme="minorHAnsi" w:hAnsi="Open Sans" w:cs="Open Sans"/>
            <w:color w:val="0000FF" w:themeColor="hyperlink"/>
            <w:sz w:val="24"/>
            <w:szCs w:val="24"/>
            <w:u w:val="single"/>
            <w:lang w:eastAsia="en-US"/>
          </w:rPr>
          <w:t>TST-RR-744-27.2017.5.23.0036</w:t>
        </w:r>
      </w:hyperlink>
      <w:r w:rsidRPr="007204D6">
        <w:rPr>
          <w:rFonts w:ascii="Open Sans" w:eastAsiaTheme="minorHAnsi" w:hAnsi="Open Sans" w:cs="Open Sans"/>
          <w:sz w:val="24"/>
          <w:szCs w:val="24"/>
          <w:lang w:eastAsia="en-US"/>
        </w:rPr>
        <w:t xml:space="preserve">, 3ª Turma, rel. Min. </w:t>
      </w:r>
      <w:r w:rsidRPr="007204D6">
        <w:rPr>
          <w:rFonts w:ascii="Open Sans" w:hAnsi="Open Sans" w:cs="Open Sans"/>
          <w:sz w:val="24"/>
          <w:szCs w:val="24"/>
        </w:rPr>
        <w:t>José Roberto Freire Pimenta</w:t>
      </w:r>
      <w:r w:rsidRPr="007204D6">
        <w:rPr>
          <w:rFonts w:ascii="Open Sans" w:eastAsiaTheme="minorHAnsi" w:hAnsi="Open Sans" w:cs="Open Sans"/>
          <w:sz w:val="24"/>
          <w:szCs w:val="24"/>
          <w:lang w:eastAsia="en-US"/>
        </w:rPr>
        <w:t xml:space="preserve">, julgado em 26/10/2022) </w:t>
      </w:r>
    </w:p>
    <w:p w:rsidR="007204D6" w:rsidRPr="007204D6" w:rsidRDefault="007204D6" w:rsidP="007204D6">
      <w:pPr>
        <w:autoSpaceDE/>
        <w:autoSpaceDN/>
        <w:ind w:left="-284" w:right="367"/>
        <w:jc w:val="both"/>
        <w:rPr>
          <w:rFonts w:ascii="Open Sans" w:hAnsi="Open Sans" w:cs="Open Sans"/>
          <w:sz w:val="24"/>
          <w:szCs w:val="24"/>
          <w:u w:val="single"/>
        </w:rPr>
      </w:pPr>
    </w:p>
    <w:p w:rsidR="007204D6" w:rsidRPr="007204D6" w:rsidRDefault="007204D6" w:rsidP="007204D6">
      <w:pPr>
        <w:autoSpaceDE/>
        <w:autoSpaceDN/>
        <w:ind w:left="-284" w:right="367"/>
        <w:jc w:val="both"/>
        <w:rPr>
          <w:rFonts w:ascii="Open Sans" w:eastAsiaTheme="minorHAnsi" w:hAnsi="Open Sans" w:cs="Open Sans"/>
          <w:sz w:val="24"/>
          <w:szCs w:val="24"/>
          <w:lang w:eastAsia="en-US"/>
        </w:rPr>
      </w:pPr>
      <w:r w:rsidRPr="007204D6">
        <w:rPr>
          <w:rFonts w:ascii="Open Sans" w:eastAsiaTheme="minorHAnsi" w:hAnsi="Open Sans" w:cs="Open Sans"/>
          <w:sz w:val="24"/>
          <w:szCs w:val="24"/>
          <w:lang w:eastAsia="en-US"/>
        </w:rPr>
        <w:t>“</w:t>
      </w:r>
      <w:proofErr w:type="gramStart"/>
      <w:r w:rsidRPr="007204D6">
        <w:rPr>
          <w:rFonts w:ascii="Open Sans" w:eastAsiaTheme="minorHAnsi" w:hAnsi="Open Sans" w:cs="Open Sans"/>
          <w:sz w:val="24"/>
          <w:szCs w:val="24"/>
          <w:lang w:eastAsia="en-US"/>
        </w:rPr>
        <w:t>I)</w:t>
      </w:r>
      <w:proofErr w:type="gramEnd"/>
      <w:r w:rsidRPr="007204D6">
        <w:rPr>
          <w:rFonts w:ascii="Open Sans" w:eastAsiaTheme="minorHAnsi" w:hAnsi="Open Sans" w:cs="Open Sans"/>
          <w:sz w:val="24"/>
          <w:szCs w:val="24"/>
          <w:lang w:eastAsia="en-US"/>
        </w:rPr>
        <w:t xml:space="preserve"> AGRAVO PATRONAL – JUSTA CAUSA PARA A DEMISSÃO – CONDENAÇÃO CRIMINAL TRANSITADA EM JULGADO – AUSÊNCIA DE IMEDIATIDADE NA APLICAÇÃO DA PENA – PERDÃO TÁCITO - MÁ APLICAÇÃO DA SÚMULA 126 DO TST - VIOLAÇÃO DO ART. 482, “D”, DA CLT – PROVIMENTO. 1. A decisão agravada considerou carente de transcendência o apelo da Reclamada que versava sobre a justa causa para a demissão, uma vez que não atendidos os requisitos do art. 896-A, § 1º, da CLT, bem como em face do óbice da Súmula 126 do TST, que também contaminaria a transcendência da causa. 2. A Reclamada traz à baila ponderações quanto à particularidade do caso concreto, concernente à demora da Vara Criminal em extrair a certidão de trânsito em julgado da ação penal condenatória com a pena de reclusão, a afastar a alegada ausência de </w:t>
      </w:r>
      <w:proofErr w:type="spellStart"/>
      <w:r w:rsidRPr="007204D6">
        <w:rPr>
          <w:rFonts w:ascii="Open Sans" w:eastAsiaTheme="minorHAnsi" w:hAnsi="Open Sans" w:cs="Open Sans"/>
          <w:sz w:val="24"/>
          <w:szCs w:val="24"/>
          <w:lang w:eastAsia="en-US"/>
        </w:rPr>
        <w:t>imediatidade</w:t>
      </w:r>
      <w:proofErr w:type="spellEnd"/>
      <w:r w:rsidRPr="007204D6">
        <w:rPr>
          <w:rFonts w:ascii="Open Sans" w:eastAsiaTheme="minorHAnsi" w:hAnsi="Open Sans" w:cs="Open Sans"/>
          <w:sz w:val="24"/>
          <w:szCs w:val="24"/>
          <w:lang w:eastAsia="en-US"/>
        </w:rPr>
        <w:t xml:space="preserve"> na aplicação da pena de demissão. 3. Superada, no presente caso, a aplicação da Súmula 126 do TST porque delineados no </w:t>
      </w:r>
      <w:r w:rsidRPr="007204D6">
        <w:rPr>
          <w:rFonts w:ascii="Open Sans" w:eastAsiaTheme="minorHAnsi" w:hAnsi="Open Sans" w:cs="Open Sans"/>
          <w:sz w:val="24"/>
          <w:szCs w:val="24"/>
          <w:lang w:eastAsia="en-US"/>
        </w:rPr>
        <w:lastRenderedPageBreak/>
        <w:t xml:space="preserve">acórdão regional todos os dados fáticos relativos à coleta de provas pela comissão de procedimento disciplinar, possibilitando a esta Corte avaliar a ocorrência ou não do alegado perdão tácito para a falta grave. 4. E da cronologia do andamento do procedimento disciplinar descrita no acórdão regional, constata-se que a demora no ajuizamento do presente inquérito judicial deu-se pela ausência da certidão de trânsito em julgado da ação penal que condenou o empregado à reclusão em regime fechado, documento este essencial para a configuração ou não da falta grave, nos exatos termos da alínea “d” do art. 482 da CLT. E, de fato, a obtenção deste documento dependia exclusivamente de ato administrativo da 3ª Vara Criminal de Itanhaém por correr a ação penal em segredo de justiça e não haver outro meio de extração da referida certidão por terceiros senão mediante solicitação oficial justificada. 5. Assim, resta afastada a ausência de </w:t>
      </w:r>
      <w:proofErr w:type="spellStart"/>
      <w:r w:rsidRPr="007204D6">
        <w:rPr>
          <w:rFonts w:ascii="Open Sans" w:eastAsiaTheme="minorHAnsi" w:hAnsi="Open Sans" w:cs="Open Sans"/>
          <w:sz w:val="24"/>
          <w:szCs w:val="24"/>
          <w:lang w:eastAsia="en-US"/>
        </w:rPr>
        <w:t>imediatidade</w:t>
      </w:r>
      <w:proofErr w:type="spellEnd"/>
      <w:r w:rsidRPr="007204D6">
        <w:rPr>
          <w:rFonts w:ascii="Open Sans" w:eastAsiaTheme="minorHAnsi" w:hAnsi="Open Sans" w:cs="Open Sans"/>
          <w:sz w:val="24"/>
          <w:szCs w:val="24"/>
          <w:lang w:eastAsia="en-US"/>
        </w:rPr>
        <w:t xml:space="preserve"> entre a ciência do fato e o ajuizamento do presente inquérito, pois tão logo comunicada da detenção do funcionário, instaurou </w:t>
      </w:r>
      <w:proofErr w:type="gramStart"/>
      <w:r w:rsidRPr="007204D6">
        <w:rPr>
          <w:rFonts w:ascii="Open Sans" w:eastAsiaTheme="minorHAnsi" w:hAnsi="Open Sans" w:cs="Open Sans"/>
          <w:sz w:val="24"/>
          <w:szCs w:val="24"/>
          <w:lang w:eastAsia="en-US"/>
        </w:rPr>
        <w:t>o</w:t>
      </w:r>
      <w:proofErr w:type="gramEnd"/>
      <w:r w:rsidRPr="007204D6">
        <w:rPr>
          <w:rFonts w:ascii="Open Sans" w:eastAsiaTheme="minorHAnsi" w:hAnsi="Open Sans" w:cs="Open Sans"/>
          <w:sz w:val="24"/>
          <w:szCs w:val="24"/>
          <w:lang w:eastAsia="en-US"/>
        </w:rPr>
        <w:t xml:space="preserve"> competente procedimento administrativo disciplinar. E tão logo cientificada do trânsito em julgado da ação com pena de reclusão, determinou o ajuizamento do inquérito para apuração de falta grave. 6. Desse modo, tendo o agravo da Autora logrado êxito em infirmar os óbices erigidos pela decisão agravada, seu provimento é medida que se impõe. Agravo provido. </w:t>
      </w:r>
      <w:proofErr w:type="gramStart"/>
      <w:r w:rsidRPr="007204D6">
        <w:rPr>
          <w:rFonts w:ascii="Open Sans" w:eastAsiaTheme="minorHAnsi" w:hAnsi="Open Sans" w:cs="Open Sans"/>
          <w:sz w:val="24"/>
          <w:szCs w:val="24"/>
          <w:lang w:eastAsia="en-US"/>
        </w:rPr>
        <w:t>II)</w:t>
      </w:r>
      <w:proofErr w:type="gramEnd"/>
      <w:r w:rsidRPr="007204D6">
        <w:rPr>
          <w:rFonts w:ascii="Open Sans" w:eastAsiaTheme="minorHAnsi" w:hAnsi="Open Sans" w:cs="Open Sans"/>
          <w:sz w:val="24"/>
          <w:szCs w:val="24"/>
          <w:lang w:eastAsia="en-US"/>
        </w:rPr>
        <w:t xml:space="preserve"> AGRAVO DE INSTRUMENTO PATRONAL – JUSTA CAUSA PARA A DEMISSÃO – CONDENAÇÃO CRIMINAL TRANSITADA EM JULGADO - IMEDIATIDADE NA APLICAÇÃO DA PENA - VIOLAÇÃO DO ART. 482, “D”, DA CLT – TRANSCENDÊNCIA POLÍTICA – PROVIMENTO. 1. Afastada a ausência de </w:t>
      </w:r>
      <w:proofErr w:type="spellStart"/>
      <w:r w:rsidRPr="007204D6">
        <w:rPr>
          <w:rFonts w:ascii="Open Sans" w:eastAsiaTheme="minorHAnsi" w:hAnsi="Open Sans" w:cs="Open Sans"/>
          <w:sz w:val="24"/>
          <w:szCs w:val="24"/>
          <w:lang w:eastAsia="en-US"/>
        </w:rPr>
        <w:t>imediatidade</w:t>
      </w:r>
      <w:proofErr w:type="spellEnd"/>
      <w:r w:rsidRPr="007204D6">
        <w:rPr>
          <w:rFonts w:ascii="Open Sans" w:eastAsiaTheme="minorHAnsi" w:hAnsi="Open Sans" w:cs="Open Sans"/>
          <w:sz w:val="24"/>
          <w:szCs w:val="24"/>
          <w:lang w:eastAsia="en-US"/>
        </w:rPr>
        <w:t xml:space="preserve"> na apuração dos fatos e na aplicação da respectiva penalidade, e preenchido o pressuposto objetivo para configuração da justa causa para a demissão, qual seja, condenação criminal transitada em julgado, patente </w:t>
      </w:r>
      <w:proofErr w:type="gramStart"/>
      <w:r w:rsidRPr="007204D6">
        <w:rPr>
          <w:rFonts w:ascii="Open Sans" w:eastAsiaTheme="minorHAnsi" w:hAnsi="Open Sans" w:cs="Open Sans"/>
          <w:sz w:val="24"/>
          <w:szCs w:val="24"/>
          <w:lang w:eastAsia="en-US"/>
        </w:rPr>
        <w:t>a</w:t>
      </w:r>
      <w:proofErr w:type="gramEnd"/>
      <w:r w:rsidRPr="007204D6">
        <w:rPr>
          <w:rFonts w:ascii="Open Sans" w:eastAsiaTheme="minorHAnsi" w:hAnsi="Open Sans" w:cs="Open Sans"/>
          <w:sz w:val="24"/>
          <w:szCs w:val="24"/>
          <w:lang w:eastAsia="en-US"/>
        </w:rPr>
        <w:t xml:space="preserve"> violação do art. 482, “d”, da CLT pelo Tribunal Regional. 2. Demonstrada a transcendência política da causa, bem como a violação do art. 482, “d”, da CLT, dá-se provimento ao agravo de instrumento para determinar o processamento do recurso de revista. Agravo de instrumento provido. III) RECURSO DE REVISTA PATRONAL – JUSTA CAUSA PARA A DEMISSÃO – CONDENAÇÃO CRIMINAL TRANSITADA EM JULGADO A PENA DE RECLUSÃO EM REGIME FECHADO - VIOLAÇÃO DO ART. 482, “D”, DA CLT – TRANSCENDÊNCIA POLÍTICA DA CAUSA – PROVIMENTO. 1. Disciplina o art. 482, “d”, da CLT que a condenação criminal do empregado, passada em julgado, constitui justa causa para a rescisão do seu contrato de trabalho. 2. Nesses termos, preenchidos os pressupostos objetivos da referida norma, reconhece-se a procedência do presente inquérito para reconhecer a falta grave autorizadora da demissão por justa causa de empregado condenado a pena de reclusão em regime fechado, posteriormente atenuado para prisão domiciliar, em face da gravidade dos atos por ele praticados, aqui não explicitados em face </w:t>
      </w:r>
      <w:proofErr w:type="gramStart"/>
      <w:r w:rsidRPr="007204D6">
        <w:rPr>
          <w:rFonts w:ascii="Open Sans" w:eastAsiaTheme="minorHAnsi" w:hAnsi="Open Sans" w:cs="Open Sans"/>
          <w:sz w:val="24"/>
          <w:szCs w:val="24"/>
          <w:lang w:eastAsia="en-US"/>
        </w:rPr>
        <w:t>do processo correr</w:t>
      </w:r>
      <w:proofErr w:type="gramEnd"/>
      <w:r w:rsidRPr="007204D6">
        <w:rPr>
          <w:rFonts w:ascii="Open Sans" w:eastAsiaTheme="minorHAnsi" w:hAnsi="Open Sans" w:cs="Open Sans"/>
          <w:sz w:val="24"/>
          <w:szCs w:val="24"/>
          <w:lang w:eastAsia="en-US"/>
        </w:rPr>
        <w:t xml:space="preserve"> em segredo de justiça. </w:t>
      </w:r>
      <w:proofErr w:type="gramStart"/>
      <w:r w:rsidRPr="007204D6">
        <w:rPr>
          <w:rFonts w:ascii="Open Sans" w:eastAsiaTheme="minorHAnsi" w:hAnsi="Open Sans" w:cs="Open Sans"/>
          <w:sz w:val="24"/>
          <w:szCs w:val="24"/>
          <w:lang w:eastAsia="en-US"/>
        </w:rPr>
        <w:t>Recurso de revista provido.”</w:t>
      </w:r>
      <w:proofErr w:type="gramEnd"/>
      <w:r w:rsidRPr="007204D6">
        <w:rPr>
          <w:rFonts w:ascii="Open Sans" w:eastAsiaTheme="minorHAnsi" w:hAnsi="Open Sans" w:cs="Open Sans"/>
          <w:sz w:val="24"/>
          <w:szCs w:val="24"/>
          <w:lang w:eastAsia="en-US"/>
        </w:rPr>
        <w:t xml:space="preserve"> (</w:t>
      </w:r>
      <w:hyperlink r:id="rId20" w:history="1">
        <w:r w:rsidRPr="007204D6">
          <w:rPr>
            <w:rFonts w:ascii="Open Sans" w:eastAsiaTheme="minorHAnsi" w:hAnsi="Open Sans" w:cs="Open Sans"/>
            <w:color w:val="0000FF" w:themeColor="hyperlink"/>
            <w:sz w:val="24"/>
            <w:szCs w:val="24"/>
            <w:u w:val="single"/>
            <w:lang w:eastAsia="en-US"/>
          </w:rPr>
          <w:t>TST- RR-1001844-16.2017.5.02.0446</w:t>
        </w:r>
      </w:hyperlink>
      <w:r w:rsidRPr="007204D6">
        <w:rPr>
          <w:rFonts w:ascii="Open Sans" w:eastAsiaTheme="minorHAnsi" w:hAnsi="Open Sans" w:cs="Open Sans"/>
          <w:sz w:val="24"/>
          <w:szCs w:val="24"/>
          <w:lang w:eastAsia="en-US"/>
        </w:rPr>
        <w:t xml:space="preserve">, 4ª Turma, rel. Min. Ives Gandra da Silva Martins Filho, julgado em 25/10/2022) </w:t>
      </w:r>
    </w:p>
    <w:p w:rsidR="007204D6" w:rsidRPr="007204D6" w:rsidRDefault="007204D6" w:rsidP="007204D6">
      <w:pPr>
        <w:autoSpaceDE/>
        <w:autoSpaceDN/>
        <w:ind w:left="-284" w:right="367"/>
        <w:jc w:val="both"/>
        <w:rPr>
          <w:rFonts w:ascii="Open Sans" w:hAnsi="Open Sans" w:cs="Open Sans"/>
          <w:sz w:val="24"/>
          <w:szCs w:val="24"/>
          <w:u w:val="single"/>
        </w:rPr>
      </w:pPr>
    </w:p>
    <w:p w:rsidR="007204D6" w:rsidRPr="007204D6" w:rsidRDefault="007204D6" w:rsidP="007204D6">
      <w:pPr>
        <w:autoSpaceDE/>
        <w:autoSpaceDN/>
        <w:ind w:left="-284" w:right="367"/>
        <w:jc w:val="both"/>
        <w:rPr>
          <w:rFonts w:ascii="Open Sans" w:eastAsiaTheme="minorHAnsi" w:hAnsi="Open Sans" w:cs="Open Sans"/>
          <w:sz w:val="24"/>
          <w:szCs w:val="24"/>
          <w:lang w:eastAsia="en-US"/>
        </w:rPr>
      </w:pPr>
      <w:bookmarkStart w:id="0" w:name="Ementa"/>
      <w:r w:rsidRPr="007204D6">
        <w:rPr>
          <w:rFonts w:ascii="Open Sans" w:eastAsiaTheme="minorHAnsi" w:hAnsi="Open Sans" w:cs="Open Sans"/>
          <w:bCs/>
          <w:sz w:val="24"/>
          <w:szCs w:val="24"/>
          <w:lang w:eastAsia="en-US"/>
        </w:rPr>
        <w:lastRenderedPageBreak/>
        <w:t xml:space="preserve">“AGRAVO. AGRAVO DE INSTRUMENTO EM RECURSO DE REVISTA. ACÓRDÃO PUBLICADO NA VIGÊNCIA DA LEI Nº 13.467/2017. </w:t>
      </w:r>
      <w:bookmarkEnd w:id="0"/>
      <w:r w:rsidRPr="007204D6">
        <w:rPr>
          <w:rFonts w:ascii="Open Sans" w:eastAsiaTheme="minorHAnsi" w:hAnsi="Open Sans" w:cs="Open Sans"/>
          <w:bCs/>
          <w:sz w:val="24"/>
          <w:szCs w:val="24"/>
          <w:lang w:eastAsia="en-US"/>
        </w:rPr>
        <w:t>RITO SUMARÍSSIMO. DESERÇÃO DO RECURSO DE REVISTA. AUSÊNCIA DE RECOLHIMENTO DO DEPÓSITO RECURSAL. TRANSCENDÊNCIA JURÍDICA RECONHECIDA. Nos termos do art. 899, § 9º, da CLT, incluído pela Lei 13.467/17, “</w:t>
      </w:r>
      <w:r w:rsidRPr="007204D6">
        <w:rPr>
          <w:rFonts w:ascii="Open Sans" w:eastAsiaTheme="minorHAnsi" w:hAnsi="Open Sans" w:cs="Open Sans"/>
          <w:bCs/>
          <w:i/>
          <w:sz w:val="24"/>
          <w:szCs w:val="24"/>
          <w:lang w:eastAsia="en-US"/>
        </w:rPr>
        <w:t>O valor do depósito recursal será reduzido pela metade para entidades sem fins lucrativos, empregadores domésticos, microempreendedores individuais, microempresas e empresas de pequeno porte</w:t>
      </w:r>
      <w:r w:rsidRPr="007204D6">
        <w:rPr>
          <w:rFonts w:ascii="Open Sans" w:eastAsiaTheme="minorHAnsi" w:hAnsi="Open Sans" w:cs="Open Sans"/>
          <w:bCs/>
          <w:sz w:val="24"/>
          <w:szCs w:val="24"/>
          <w:lang w:eastAsia="en-US"/>
        </w:rPr>
        <w:t xml:space="preserve">”. Sobreleva destacar, ainda, o entendimento da Súmula nº 128, I, desta Corte, no sentido de que </w:t>
      </w:r>
      <w:proofErr w:type="gramStart"/>
      <w:r w:rsidRPr="007204D6">
        <w:rPr>
          <w:rFonts w:ascii="Open Sans" w:eastAsiaTheme="minorHAnsi" w:hAnsi="Open Sans" w:cs="Open Sans"/>
          <w:bCs/>
          <w:sz w:val="24"/>
          <w:szCs w:val="24"/>
          <w:lang w:eastAsia="en-US"/>
        </w:rPr>
        <w:t>“</w:t>
      </w:r>
      <w:r w:rsidRPr="007204D6">
        <w:rPr>
          <w:rFonts w:ascii="Open Sans" w:eastAsiaTheme="minorHAnsi" w:hAnsi="Open Sans" w:cs="Open Sans"/>
          <w:bCs/>
          <w:i/>
          <w:sz w:val="24"/>
          <w:szCs w:val="24"/>
          <w:lang w:eastAsia="en-US"/>
        </w:rPr>
        <w:t>É ônus da parte recorrente efetuar o depósito legal, integralmente, em relação a cada novo recurso interposto, sob pena de deserção.</w:t>
      </w:r>
      <w:proofErr w:type="gramEnd"/>
      <w:r w:rsidRPr="007204D6">
        <w:rPr>
          <w:rFonts w:ascii="Open Sans" w:eastAsiaTheme="minorHAnsi" w:hAnsi="Open Sans" w:cs="Open Sans"/>
          <w:bCs/>
          <w:i/>
          <w:sz w:val="24"/>
          <w:szCs w:val="24"/>
          <w:lang w:eastAsia="en-US"/>
        </w:rPr>
        <w:t xml:space="preserve"> </w:t>
      </w:r>
      <w:proofErr w:type="gramStart"/>
      <w:r w:rsidRPr="007204D6">
        <w:rPr>
          <w:rFonts w:ascii="Open Sans" w:eastAsiaTheme="minorHAnsi" w:hAnsi="Open Sans" w:cs="Open Sans"/>
          <w:bCs/>
          <w:i/>
          <w:sz w:val="24"/>
          <w:szCs w:val="24"/>
          <w:lang w:eastAsia="en-US"/>
        </w:rPr>
        <w:t>Atingido o valor da condenação, nenhum depósito mais é exigido para qualquer recurso</w:t>
      </w:r>
      <w:r w:rsidRPr="007204D6">
        <w:rPr>
          <w:rFonts w:ascii="Open Sans" w:eastAsiaTheme="minorHAnsi" w:hAnsi="Open Sans" w:cs="Open Sans"/>
          <w:bCs/>
          <w:sz w:val="24"/>
          <w:szCs w:val="24"/>
          <w:lang w:eastAsia="en-US"/>
        </w:rPr>
        <w:t>”</w:t>
      </w:r>
      <w:proofErr w:type="gramEnd"/>
      <w:r w:rsidRPr="007204D6">
        <w:rPr>
          <w:rFonts w:ascii="Open Sans" w:eastAsiaTheme="minorHAnsi" w:hAnsi="Open Sans" w:cs="Open Sans"/>
          <w:bCs/>
          <w:sz w:val="24"/>
          <w:szCs w:val="24"/>
          <w:lang w:eastAsia="en-US"/>
        </w:rPr>
        <w:t>. Na hipótese dos autos, a sentença fixou em R$20.000,00 (vinte mil reais) o valor da condenação, e não houve alteração posterior pelo e. TRT. Conforme noticia o despacho proferido pela autoridade local, a reclamada, enquadrada na categoria de microempresa - ME, recolheu, em sede de recurso ordinário, a título de depósito recursal, a quantia de R$10.059,15, e nada depositou quando da interposição do Recurso de Revisa, sob a alegação de que, nos autos “</w:t>
      </w:r>
      <w:r w:rsidRPr="007204D6">
        <w:rPr>
          <w:rFonts w:ascii="Open Sans" w:eastAsiaTheme="minorHAnsi" w:hAnsi="Open Sans" w:cs="Open Sans"/>
          <w:bCs/>
          <w:i/>
          <w:sz w:val="24"/>
          <w:szCs w:val="24"/>
          <w:lang w:eastAsia="en-US"/>
        </w:rPr>
        <w:t>há depósito de mais de 50% do valor arbitrado à condenação, que foi de R$ 20.000,00 (vinte mil reais)</w:t>
      </w:r>
      <w:r w:rsidRPr="007204D6">
        <w:rPr>
          <w:rFonts w:ascii="Open Sans" w:eastAsiaTheme="minorHAnsi" w:hAnsi="Open Sans" w:cs="Open Sans"/>
          <w:bCs/>
          <w:sz w:val="24"/>
          <w:szCs w:val="24"/>
          <w:lang w:eastAsia="en-US"/>
        </w:rPr>
        <w:t xml:space="preserve">”. Ocorre que, sendo devido o valor do preparo a cada novo recurso, nos termos do citado verbete desta Corte, e considerando que o somatório do montante já depositado quando da interposição do recurso ordinário (R$ 10.059,15), juntamente com a metade do valor do depósito recursal devido em sede de recurso de revista (R$10.986,85), ultrapassaria o valor da condenação, caberia à parte recolher a quantia faltante para se chegar ao valor total, ou seja, R$9.940,85, o que não foi observado no caso dos autos. Assim sendo, subsiste a deserção detectada pela autoridade local. Precedente. Ressalta-se que, com ressalva de entendimento pessoal, esta Corte tem entendido serem inaplicáveis as disposições contidas no art. 1.007, §§ 2º e 4º, do CPC, nas hipóteses de ausência de recolhimento de preparo, como no caso. Precedentes. Dessa forma, inviável se torna o exame da matéria de fundo veiculada no recurso de revista. Ante a improcedência do recurso, aplica-se à parte agravante a multa prevista no art. 1.021, § 4º, do CPC. Agravo não provido, com imposição de multa.” </w:t>
      </w:r>
      <w:r w:rsidRPr="007204D6">
        <w:rPr>
          <w:rFonts w:ascii="Open Sans" w:eastAsiaTheme="minorHAnsi" w:hAnsi="Open Sans" w:cs="Open Sans"/>
          <w:sz w:val="24"/>
          <w:szCs w:val="24"/>
          <w:lang w:eastAsia="en-US"/>
        </w:rPr>
        <w:t>(</w:t>
      </w:r>
      <w:hyperlink r:id="rId21" w:history="1">
        <w:r w:rsidRPr="007204D6">
          <w:rPr>
            <w:rFonts w:ascii="Open Sans" w:eastAsiaTheme="minorHAnsi" w:hAnsi="Open Sans" w:cs="Open Sans"/>
            <w:color w:val="0000FF" w:themeColor="hyperlink"/>
            <w:sz w:val="24"/>
            <w:szCs w:val="24"/>
            <w:u w:val="single"/>
            <w:lang w:eastAsia="en-US"/>
          </w:rPr>
          <w:t>TST-Ag-AIRR-10191-64.2021.5.03.0033</w:t>
        </w:r>
      </w:hyperlink>
      <w:r w:rsidRPr="007204D6">
        <w:rPr>
          <w:rFonts w:ascii="Open Sans" w:eastAsiaTheme="minorHAnsi" w:hAnsi="Open Sans" w:cs="Open Sans"/>
          <w:sz w:val="24"/>
          <w:szCs w:val="24"/>
          <w:lang w:eastAsia="en-US"/>
        </w:rPr>
        <w:t>, 5ª Turma, rel. Min. Breno Medeiros,</w:t>
      </w:r>
      <w:r>
        <w:rPr>
          <w:rFonts w:ascii="Open Sans" w:eastAsiaTheme="minorHAnsi" w:hAnsi="Open Sans" w:cs="Open Sans"/>
          <w:sz w:val="24"/>
          <w:szCs w:val="24"/>
          <w:lang w:eastAsia="en-US"/>
        </w:rPr>
        <w:t xml:space="preserve"> julgado em </w:t>
      </w:r>
      <w:proofErr w:type="gramStart"/>
      <w:r>
        <w:rPr>
          <w:rFonts w:ascii="Open Sans" w:eastAsiaTheme="minorHAnsi" w:hAnsi="Open Sans" w:cs="Open Sans"/>
          <w:sz w:val="24"/>
          <w:szCs w:val="24"/>
          <w:lang w:eastAsia="en-US"/>
        </w:rPr>
        <w:t>26/10/2022)</w:t>
      </w:r>
      <w:proofErr w:type="gramEnd"/>
    </w:p>
    <w:p w:rsidR="007204D6" w:rsidRPr="007204D6" w:rsidRDefault="007204D6" w:rsidP="007204D6">
      <w:pPr>
        <w:autoSpaceDE/>
        <w:autoSpaceDN/>
        <w:ind w:left="-284" w:right="367"/>
        <w:jc w:val="both"/>
        <w:rPr>
          <w:rFonts w:ascii="Open Sans" w:hAnsi="Open Sans" w:cs="Open Sans"/>
          <w:sz w:val="24"/>
          <w:szCs w:val="24"/>
          <w:u w:val="single"/>
        </w:rPr>
      </w:pPr>
    </w:p>
    <w:p w:rsidR="007204D6" w:rsidRPr="007204D6" w:rsidRDefault="007204D6" w:rsidP="007204D6">
      <w:pPr>
        <w:autoSpaceDE/>
        <w:autoSpaceDN/>
        <w:ind w:left="-284" w:right="367"/>
        <w:jc w:val="both"/>
        <w:rPr>
          <w:rFonts w:ascii="Open Sans" w:eastAsiaTheme="minorHAnsi" w:hAnsi="Open Sans" w:cs="Open Sans"/>
          <w:sz w:val="24"/>
          <w:szCs w:val="24"/>
          <w:lang w:eastAsia="en-US"/>
        </w:rPr>
      </w:pPr>
      <w:proofErr w:type="gramStart"/>
      <w:r w:rsidRPr="007204D6">
        <w:rPr>
          <w:rFonts w:ascii="Open Sans" w:eastAsiaTheme="minorHAnsi" w:hAnsi="Open Sans" w:cs="Open Sans"/>
          <w:bCs/>
          <w:sz w:val="24"/>
          <w:szCs w:val="24"/>
          <w:lang w:eastAsia="en-US"/>
        </w:rPr>
        <w:t>“[...] RECURSO DE REVISTA.</w:t>
      </w:r>
      <w:proofErr w:type="gramEnd"/>
      <w:r w:rsidRPr="007204D6">
        <w:rPr>
          <w:rFonts w:ascii="Open Sans" w:eastAsiaTheme="minorHAnsi" w:hAnsi="Open Sans" w:cs="Open Sans"/>
          <w:bCs/>
          <w:sz w:val="24"/>
          <w:szCs w:val="24"/>
          <w:lang w:eastAsia="en-US"/>
        </w:rPr>
        <w:t xml:space="preserve"> ACÓRDÃO PUBLICADO NA VIGÊNCIA DA LEI Nº 13.467/2017. EBSERH. NATUREZA JURÍDICA. PRERROGATIVAS DA FAZENDA PÚBLICA. EXTENSÃO. TRANSCENDÊNCIA JURÍDICA RECONHECIDA. Discute-se a extensão das prerrogativas processuais da Fazenda Pública à Empresa Pública Brasileira de Serviços Hospitalares – EBSERH. Conforme destacado na decisão monocrática, o e. TRT concluiu que “</w:t>
      </w:r>
      <w:r w:rsidRPr="007204D6">
        <w:rPr>
          <w:rFonts w:ascii="Open Sans" w:eastAsiaTheme="minorHAnsi" w:hAnsi="Open Sans" w:cs="Open Sans"/>
          <w:bCs/>
          <w:i/>
          <w:sz w:val="24"/>
          <w:szCs w:val="24"/>
          <w:lang w:eastAsia="en-US"/>
        </w:rPr>
        <w:t>a reclamada embora tenha personalidade jurídica de direito privado, é mantida pelo Poder Público e presta serviços de saúde pelo SUS, sem fins lucrativos, goza das prerrogativas processuais da Fazenda Pública”</w:t>
      </w:r>
      <w:r w:rsidRPr="007204D6">
        <w:rPr>
          <w:rFonts w:ascii="Open Sans" w:eastAsiaTheme="minorHAnsi" w:hAnsi="Open Sans" w:cs="Open Sans"/>
          <w:bCs/>
          <w:sz w:val="24"/>
          <w:szCs w:val="24"/>
          <w:lang w:eastAsia="en-US"/>
        </w:rPr>
        <w:t xml:space="preserve">. Não se desconhece a existência de precedentes desta Corte no sentido de que a EBSERH é empresa pública, se encontra sujeita ao regime </w:t>
      </w:r>
      <w:r w:rsidRPr="007204D6">
        <w:rPr>
          <w:rFonts w:ascii="Open Sans" w:eastAsiaTheme="minorHAnsi" w:hAnsi="Open Sans" w:cs="Open Sans"/>
          <w:bCs/>
          <w:sz w:val="24"/>
          <w:szCs w:val="24"/>
          <w:lang w:eastAsia="en-US"/>
        </w:rPr>
        <w:lastRenderedPageBreak/>
        <w:t xml:space="preserve">jurídico próprio das empresas privadas e não faz </w:t>
      </w:r>
      <w:r w:rsidRPr="007204D6">
        <w:rPr>
          <w:rFonts w:ascii="Open Sans" w:eastAsiaTheme="minorHAnsi" w:hAnsi="Open Sans" w:cs="Open Sans"/>
          <w:bCs/>
          <w:i/>
          <w:sz w:val="24"/>
          <w:szCs w:val="24"/>
          <w:lang w:eastAsia="en-US"/>
        </w:rPr>
        <w:t>jus</w:t>
      </w:r>
      <w:r w:rsidRPr="007204D6">
        <w:rPr>
          <w:rFonts w:ascii="Open Sans" w:eastAsiaTheme="minorHAnsi" w:hAnsi="Open Sans" w:cs="Open Sans"/>
          <w:bCs/>
          <w:sz w:val="24"/>
          <w:szCs w:val="24"/>
          <w:lang w:eastAsia="en-US"/>
        </w:rPr>
        <w:t xml:space="preserve"> à aplicação das prerrogativas concedidas à Fazenda Pública, inclusive a isenção do recolhimento das custas processuais e do depósito recursal. Não obstante, outra corrente de entendimento desponta, como manifestação do fenômeno que permite a evolução de sua jurisprudência, no sentido de se aplicar, por analogia, o entendimento fixado pelo STF na ADPF 437/CE, segundo o qual as empresas que desempenham atividades típicas do Estado, em regime de exclusividade e sem finalidade lucrativa e quando dependam do repasse de verbas públicas, se inserem no regime de precatórios, de modo que se aplica a mesma </w:t>
      </w:r>
      <w:proofErr w:type="spellStart"/>
      <w:r w:rsidRPr="007204D6">
        <w:rPr>
          <w:rFonts w:ascii="Open Sans" w:eastAsiaTheme="minorHAnsi" w:hAnsi="Open Sans" w:cs="Open Sans"/>
          <w:bCs/>
          <w:i/>
          <w:iCs/>
          <w:sz w:val="24"/>
          <w:szCs w:val="24"/>
          <w:lang w:eastAsia="en-US"/>
        </w:rPr>
        <w:t>ratio</w:t>
      </w:r>
      <w:proofErr w:type="spellEnd"/>
      <w:r w:rsidRPr="007204D6">
        <w:rPr>
          <w:rFonts w:ascii="Open Sans" w:eastAsiaTheme="minorHAnsi" w:hAnsi="Open Sans" w:cs="Open Sans"/>
          <w:bCs/>
          <w:i/>
          <w:iCs/>
          <w:sz w:val="24"/>
          <w:szCs w:val="24"/>
          <w:lang w:eastAsia="en-US"/>
        </w:rPr>
        <w:t xml:space="preserve"> </w:t>
      </w:r>
      <w:proofErr w:type="spellStart"/>
      <w:r w:rsidRPr="007204D6">
        <w:rPr>
          <w:rFonts w:ascii="Open Sans" w:eastAsiaTheme="minorHAnsi" w:hAnsi="Open Sans" w:cs="Open Sans"/>
          <w:bCs/>
          <w:i/>
          <w:iCs/>
          <w:sz w:val="24"/>
          <w:szCs w:val="24"/>
          <w:lang w:eastAsia="en-US"/>
        </w:rPr>
        <w:t>decidendi</w:t>
      </w:r>
      <w:proofErr w:type="spellEnd"/>
      <w:r w:rsidRPr="007204D6">
        <w:rPr>
          <w:rFonts w:ascii="Open Sans" w:eastAsiaTheme="minorHAnsi" w:hAnsi="Open Sans" w:cs="Open Sans"/>
          <w:bCs/>
          <w:sz w:val="24"/>
          <w:szCs w:val="24"/>
          <w:lang w:eastAsia="en-US"/>
        </w:rPr>
        <w:t xml:space="preserve"> quanto às prerrogativas processuais da empresa pública, caso dos autos. Precedentes. Extrai-se da Lei nº 12.550/2011 que a EBSERH é empresa pública federal vinculada ao Ministério da Educação, cujo capital social pertence à União e cuja finalidade é a prestação de serviços públicos gratuitos na área de saúde no âmbito do Sistema Único de Saúde – SUS e de serviços voltados ao ensino em hospitais universitários federais, em regime não concorrencial, alheia à exploração de atividade econômica, com imposição legal expressa de reinvestimento de seu lucro líquido para atendimento de seu </w:t>
      </w:r>
      <w:proofErr w:type="gramStart"/>
      <w:r w:rsidRPr="007204D6">
        <w:rPr>
          <w:rFonts w:ascii="Open Sans" w:eastAsiaTheme="minorHAnsi" w:hAnsi="Open Sans" w:cs="Open Sans"/>
          <w:bCs/>
          <w:sz w:val="24"/>
          <w:szCs w:val="24"/>
          <w:lang w:eastAsia="en-US"/>
        </w:rPr>
        <w:t>objeto</w:t>
      </w:r>
      <w:proofErr w:type="gramEnd"/>
      <w:r w:rsidRPr="007204D6">
        <w:rPr>
          <w:rFonts w:ascii="Open Sans" w:eastAsiaTheme="minorHAnsi" w:hAnsi="Open Sans" w:cs="Open Sans"/>
          <w:bCs/>
          <w:sz w:val="24"/>
          <w:szCs w:val="24"/>
          <w:lang w:eastAsia="en-US"/>
        </w:rPr>
        <w:t xml:space="preserve"> social, de modo que não lhe aplicam as disposições do art. 173, §1º, II, da Constituição Federal. Recurso de revista conhecido e provido. [</w:t>
      </w:r>
      <w:proofErr w:type="gramStart"/>
      <w:r w:rsidRPr="007204D6">
        <w:rPr>
          <w:rFonts w:ascii="Open Sans" w:eastAsiaTheme="minorHAnsi" w:hAnsi="Open Sans" w:cs="Open Sans"/>
          <w:bCs/>
          <w:sz w:val="24"/>
          <w:szCs w:val="24"/>
          <w:lang w:eastAsia="en-US"/>
        </w:rPr>
        <w:t>...]”</w:t>
      </w:r>
      <w:proofErr w:type="gramEnd"/>
      <w:r w:rsidRPr="007204D6">
        <w:rPr>
          <w:rFonts w:ascii="Open Sans" w:eastAsiaTheme="minorHAnsi" w:hAnsi="Open Sans" w:cs="Open Sans"/>
          <w:bCs/>
          <w:sz w:val="24"/>
          <w:szCs w:val="24"/>
          <w:lang w:eastAsia="en-US"/>
        </w:rPr>
        <w:t xml:space="preserve"> </w:t>
      </w:r>
      <w:r w:rsidRPr="007204D6">
        <w:rPr>
          <w:rFonts w:ascii="Open Sans" w:eastAsiaTheme="minorHAnsi" w:hAnsi="Open Sans" w:cs="Open Sans"/>
          <w:sz w:val="24"/>
          <w:szCs w:val="24"/>
          <w:lang w:eastAsia="en-US"/>
        </w:rPr>
        <w:t>(</w:t>
      </w:r>
      <w:hyperlink r:id="rId22" w:history="1">
        <w:r w:rsidRPr="007204D6">
          <w:rPr>
            <w:rFonts w:ascii="Open Sans" w:eastAsiaTheme="minorHAnsi" w:hAnsi="Open Sans" w:cs="Open Sans"/>
            <w:color w:val="0000FF" w:themeColor="hyperlink"/>
            <w:sz w:val="24"/>
            <w:szCs w:val="24"/>
            <w:u w:val="single"/>
            <w:lang w:eastAsia="en-US"/>
          </w:rPr>
          <w:t>TST-Ag-RRAg-20023-61.2020.5.04.0702</w:t>
        </w:r>
      </w:hyperlink>
      <w:r w:rsidRPr="007204D6">
        <w:rPr>
          <w:rFonts w:ascii="Open Sans" w:eastAsiaTheme="minorHAnsi" w:hAnsi="Open Sans" w:cs="Open Sans"/>
          <w:sz w:val="24"/>
          <w:szCs w:val="24"/>
          <w:lang w:eastAsia="en-US"/>
        </w:rPr>
        <w:t xml:space="preserve">, 5ª Turma, rel. Min. Breno Medeiros, julgado em 26/10/2022) </w:t>
      </w:r>
    </w:p>
    <w:p w:rsidR="007204D6" w:rsidRPr="007204D6" w:rsidRDefault="007204D6" w:rsidP="007204D6">
      <w:pPr>
        <w:autoSpaceDE/>
        <w:autoSpaceDN/>
        <w:ind w:left="-284" w:right="367"/>
        <w:jc w:val="both"/>
        <w:rPr>
          <w:rFonts w:ascii="Open Sans" w:hAnsi="Open Sans" w:cs="Open Sans"/>
          <w:sz w:val="24"/>
          <w:szCs w:val="24"/>
          <w:u w:val="single"/>
        </w:rPr>
      </w:pPr>
    </w:p>
    <w:p w:rsidR="007204D6" w:rsidRPr="007204D6" w:rsidRDefault="007204D6" w:rsidP="007204D6">
      <w:pPr>
        <w:ind w:left="-284" w:right="367"/>
        <w:jc w:val="both"/>
        <w:rPr>
          <w:rFonts w:ascii="Open Sans" w:eastAsiaTheme="minorEastAsia" w:hAnsi="Open Sans" w:cs="Open Sans"/>
          <w:color w:val="000000"/>
          <w:sz w:val="24"/>
          <w:szCs w:val="24"/>
        </w:rPr>
      </w:pPr>
      <w:r w:rsidRPr="007204D6">
        <w:rPr>
          <w:rFonts w:ascii="Open Sans" w:eastAsiaTheme="minorEastAsia" w:hAnsi="Open Sans" w:cs="Open Sans"/>
          <w:bCs/>
          <w:color w:val="000000"/>
          <w:sz w:val="24"/>
          <w:szCs w:val="24"/>
        </w:rPr>
        <w:t>“</w:t>
      </w:r>
      <w:bookmarkStart w:id="1" w:name="tempEmenta"/>
      <w:r w:rsidRPr="007204D6">
        <w:rPr>
          <w:rFonts w:ascii="Open Sans" w:eastAsiaTheme="minorHAnsi" w:hAnsi="Open Sans" w:cs="Open Sans"/>
          <w:bCs/>
          <w:sz w:val="24"/>
          <w:szCs w:val="24"/>
          <w:lang w:eastAsia="en-US"/>
        </w:rPr>
        <w:t>AGRAVO DE INSTRUMENTO. RECURSO DE REVISTA. RECLAMADAS. RITO SUMARÍSSIMO. LEI Nº 13.467/2017. RESCISÃO CONTRATUAL APÓS 11 DE NOVEMBRO DE 2017. PAGAMENTO DAS VERBAS RESCISÓRIAS DENTRO DO PRAZO PREVISTO EM LEI. ENTREGA DE DOCUMENTOS EM ATRASO. MULTA DO ART. 477 DA CLT.</w:t>
      </w:r>
      <w:bookmarkEnd w:id="1"/>
      <w:r w:rsidRPr="007204D6">
        <w:rPr>
          <w:rFonts w:ascii="Open Sans" w:eastAsiaTheme="minorHAnsi" w:hAnsi="Open Sans" w:cs="Open Sans"/>
          <w:bCs/>
          <w:sz w:val="24"/>
          <w:szCs w:val="24"/>
          <w:lang w:eastAsia="en-US"/>
        </w:rPr>
        <w:t xml:space="preserve"> 1 - Há transcendência jurídica, pois se constata em exame preliminar controvérsia sobre questão nova em torno da interpretação da legislação trabalhista, relativa à aplicabilidade da norma do art. 477, §§6º e 8º, da CLT, com as alterações da Lei nº 13.467/2017. 2 - Cinge-se a presente controvérsia em saber se o atraso na entrega ao empregado de documentos que comprovem a comunicação da extinção contratual aos órgãos competentes, uma vez tendo ocorrido o pagamento dos valores constantes do instrumento de rescisão ou recibo de quitação dentro do prazo do artigo 477, § 6º, da CLT, enseja a aplicação da multa do artigo 477, § 8º, da CLT. 3 – O entendimento desta Corte Superior era no sentido de que a aplicação da penalidade do artigo 477, § 8º, da CLT dava-se, exclusivamente, na hipótese de quitação a </w:t>
      </w:r>
      <w:proofErr w:type="spellStart"/>
      <w:r w:rsidRPr="007204D6">
        <w:rPr>
          <w:rFonts w:ascii="Open Sans" w:eastAsiaTheme="minorHAnsi" w:hAnsi="Open Sans" w:cs="Open Sans"/>
          <w:bCs/>
          <w:sz w:val="24"/>
          <w:szCs w:val="24"/>
          <w:lang w:eastAsia="en-US"/>
        </w:rPr>
        <w:t>destempo</w:t>
      </w:r>
      <w:proofErr w:type="spellEnd"/>
      <w:r w:rsidRPr="007204D6">
        <w:rPr>
          <w:rFonts w:ascii="Open Sans" w:eastAsiaTheme="minorHAnsi" w:hAnsi="Open Sans" w:cs="Open Sans"/>
          <w:bCs/>
          <w:sz w:val="24"/>
          <w:szCs w:val="24"/>
          <w:lang w:eastAsia="en-US"/>
        </w:rPr>
        <w:t xml:space="preserve"> das verbas rescisórias. 4 – Antes da vigência da Lei nº 13.467/2017, os §§ 6º e 8º do art. 477 da CLT possuíam a seguinte redação: </w:t>
      </w:r>
      <w:proofErr w:type="gramStart"/>
      <w:r w:rsidRPr="007204D6">
        <w:rPr>
          <w:rFonts w:ascii="Open Sans" w:eastAsiaTheme="minorHAnsi" w:hAnsi="Open Sans" w:cs="Open Sans"/>
          <w:bCs/>
          <w:i/>
          <w:sz w:val="24"/>
          <w:szCs w:val="24"/>
          <w:lang w:eastAsia="en-US"/>
        </w:rPr>
        <w:t>"§ 6º - O pagamento das parcelas constantes do instrumento de rescisão ou recibo de quitação deverá ser efetuado nos seguintes prazos: a) até o primeiro dia útil imediato ao término do contrato; ou b) até o décimo dia, contado da data da notificação da demissão, quando da ausência do aviso-prévio, indenização do mesmo ou dispensa de seu cumprimento.</w:t>
      </w:r>
      <w:proofErr w:type="gramEnd"/>
      <w:r w:rsidRPr="007204D6">
        <w:rPr>
          <w:rFonts w:ascii="Open Sans" w:eastAsiaTheme="minorHAnsi" w:hAnsi="Open Sans" w:cs="Open Sans"/>
          <w:bCs/>
          <w:i/>
          <w:sz w:val="24"/>
          <w:szCs w:val="24"/>
          <w:lang w:eastAsia="en-US"/>
        </w:rPr>
        <w:t xml:space="preserve"> </w:t>
      </w:r>
      <w:proofErr w:type="gramStart"/>
      <w:r w:rsidRPr="007204D6">
        <w:rPr>
          <w:rFonts w:ascii="Open Sans" w:eastAsiaTheme="minorHAnsi" w:hAnsi="Open Sans" w:cs="Open Sans"/>
          <w:bCs/>
          <w:i/>
          <w:sz w:val="24"/>
          <w:szCs w:val="24"/>
          <w:lang w:eastAsia="en-US"/>
        </w:rPr>
        <w:t xml:space="preserve">(...) § 8º - A inobservância do disposto no § 6º deste artigo sujeitará o infrator à multa de 160 BTN, por trabalhador, bem assim ao </w:t>
      </w:r>
      <w:r w:rsidRPr="007204D6">
        <w:rPr>
          <w:rFonts w:ascii="Open Sans" w:eastAsiaTheme="minorHAnsi" w:hAnsi="Open Sans" w:cs="Open Sans"/>
          <w:bCs/>
          <w:i/>
          <w:sz w:val="24"/>
          <w:szCs w:val="24"/>
          <w:lang w:eastAsia="en-US"/>
        </w:rPr>
        <w:lastRenderedPageBreak/>
        <w:t>pagamento da multa a favor do empregado, em valor equivalente ao seu salário, devidamente corrigido pelo índice de variação do BTN, salvo quando, comprovadamente, o trabalhador der causa à mora</w:t>
      </w:r>
      <w:r w:rsidRPr="007204D6">
        <w:rPr>
          <w:rFonts w:ascii="Open Sans" w:eastAsiaTheme="minorHAnsi" w:hAnsi="Open Sans" w:cs="Open Sans"/>
          <w:bCs/>
          <w:sz w:val="24"/>
          <w:szCs w:val="24"/>
          <w:lang w:eastAsia="en-US"/>
        </w:rPr>
        <w:t>"</w:t>
      </w:r>
      <w:proofErr w:type="gramEnd"/>
      <w:r w:rsidRPr="007204D6">
        <w:rPr>
          <w:rFonts w:ascii="Open Sans" w:eastAsiaTheme="minorHAnsi" w:hAnsi="Open Sans" w:cs="Open Sans"/>
          <w:bCs/>
          <w:sz w:val="24"/>
          <w:szCs w:val="24"/>
          <w:lang w:eastAsia="en-US"/>
        </w:rPr>
        <w:t xml:space="preserve">. 5 – Com a alteração legislativa, o §6º do art. 477 da CLT passou a ter a seguinte redação: </w:t>
      </w:r>
      <w:r w:rsidRPr="007204D6">
        <w:rPr>
          <w:rFonts w:ascii="Open Sans" w:eastAsiaTheme="minorHAnsi" w:hAnsi="Open Sans" w:cs="Open Sans"/>
          <w:bCs/>
          <w:i/>
          <w:sz w:val="24"/>
          <w:szCs w:val="24"/>
          <w:lang w:eastAsia="en-US"/>
        </w:rPr>
        <w:t>“§6º - A entrega ao empregado de documentos que comprovem a comunicação da extinção contratual aos órgãos competentes bem como o pagamento dos valores constantes do instrumento de rescisão ou recibo de quitação deverão ser efetuados até dez dias contados a partir do término do contrato</w:t>
      </w:r>
      <w:r w:rsidRPr="007204D6">
        <w:rPr>
          <w:rFonts w:ascii="Open Sans" w:eastAsiaTheme="minorHAnsi" w:hAnsi="Open Sans" w:cs="Open Sans"/>
          <w:bCs/>
          <w:sz w:val="24"/>
          <w:szCs w:val="24"/>
          <w:lang w:eastAsia="en-US"/>
        </w:rPr>
        <w:t>”. 6 - No caso, conforme se infere do trecho do acórdão recorrido transcrito pela parte, o TRT, após a análise do conjunto fático-probatório, reformou a sentença, para condenar as reclamadas ao pagamento da multa prevista no art. 477, §8º, da CLT. Para tanto, registrou que “</w:t>
      </w:r>
      <w:r w:rsidRPr="007204D6">
        <w:rPr>
          <w:rFonts w:ascii="Open Sans" w:eastAsiaTheme="minorHAnsi" w:hAnsi="Open Sans" w:cs="Open Sans"/>
          <w:bCs/>
          <w:i/>
          <w:sz w:val="24"/>
          <w:szCs w:val="24"/>
          <w:lang w:eastAsia="en-US"/>
        </w:rPr>
        <w:t>a partir da vigência da Lei 13.467/17, a penalidade prevista na sobredita disposição legal não mais se limita à hipótese de atraso no pagamento, abrangendo também a situação de mora na entrega da documentação rescisória. A pretensão do autor de pagamento da penalidade em destaque resulta do atraso na entrega dos documentos relativos à ruptura contratual, mesmo porque o acerto rescisório foi depositado na conta bancária do autor dentro do prazo previsto no art. 477, § 6º, da CLT (vide fls. 454/456 - ID. 8ffb692/ID. a5cbc36). O reclamante se demitiu em 21/05/2021 (fl. 452 - ID. 632adff) e o único documento que deveria receber nessa modalidade rescisória era o TRCT, que lhe foi entregue mediante recibo em 15/06/2021 (fls. 454/455 - ID</w:t>
      </w:r>
      <w:proofErr w:type="gramStart"/>
      <w:r w:rsidRPr="007204D6">
        <w:rPr>
          <w:rFonts w:ascii="Open Sans" w:eastAsiaTheme="minorHAnsi" w:hAnsi="Open Sans" w:cs="Open Sans"/>
          <w:bCs/>
          <w:i/>
          <w:sz w:val="24"/>
          <w:szCs w:val="24"/>
          <w:lang w:eastAsia="en-US"/>
        </w:rPr>
        <w:t>. 8ffb692), fora do prazo legal, portanto</w:t>
      </w:r>
      <w:r w:rsidRPr="007204D6">
        <w:rPr>
          <w:rFonts w:ascii="Open Sans" w:eastAsiaTheme="minorHAnsi" w:hAnsi="Open Sans" w:cs="Open Sans"/>
          <w:bCs/>
          <w:sz w:val="24"/>
          <w:szCs w:val="24"/>
          <w:lang w:eastAsia="en-US"/>
        </w:rPr>
        <w:t>”</w:t>
      </w:r>
      <w:proofErr w:type="gramEnd"/>
      <w:r w:rsidRPr="007204D6">
        <w:rPr>
          <w:rFonts w:ascii="Open Sans" w:eastAsiaTheme="minorHAnsi" w:hAnsi="Open Sans" w:cs="Open Sans"/>
          <w:bCs/>
          <w:sz w:val="24"/>
          <w:szCs w:val="24"/>
          <w:lang w:eastAsia="en-US"/>
        </w:rPr>
        <w:t>. Nesse sentido, destacou que “</w:t>
      </w:r>
      <w:r w:rsidRPr="007204D6">
        <w:rPr>
          <w:rFonts w:ascii="Open Sans" w:eastAsiaTheme="minorHAnsi" w:hAnsi="Open Sans" w:cs="Open Sans"/>
          <w:bCs/>
          <w:i/>
          <w:sz w:val="24"/>
          <w:szCs w:val="24"/>
          <w:lang w:eastAsia="en-US"/>
        </w:rPr>
        <w:t xml:space="preserve">É certo que as normas que preveem penalidades devem ser interpretadas de forma restritiva, contudo, o fato de ter o </w:t>
      </w:r>
      <w:proofErr w:type="spellStart"/>
      <w:r w:rsidRPr="007204D6">
        <w:rPr>
          <w:rFonts w:ascii="Open Sans" w:eastAsiaTheme="minorHAnsi" w:hAnsi="Open Sans" w:cs="Open Sans"/>
          <w:bCs/>
          <w:i/>
          <w:sz w:val="24"/>
          <w:szCs w:val="24"/>
          <w:lang w:eastAsia="en-US"/>
        </w:rPr>
        <w:t>acionante</w:t>
      </w:r>
      <w:proofErr w:type="spellEnd"/>
      <w:r w:rsidRPr="007204D6">
        <w:rPr>
          <w:rFonts w:ascii="Open Sans" w:eastAsiaTheme="minorHAnsi" w:hAnsi="Open Sans" w:cs="Open Sans"/>
          <w:bCs/>
          <w:i/>
          <w:sz w:val="24"/>
          <w:szCs w:val="24"/>
          <w:lang w:eastAsia="en-US"/>
        </w:rPr>
        <w:t xml:space="preserve"> ter se demitido não é justificativa para o empregador extrapolar o decêndio previsto para a entrega da correlata documentação, porquanto, independentemente da forma de dissolução do contrato de trabalho, seja por dispensa imotivada ou por demissão, cabia à empregadora cumprir sua obrigação no prazo previsto no parágrafo 6º do artigo 477 da CLT</w:t>
      </w:r>
      <w:r w:rsidRPr="007204D6">
        <w:rPr>
          <w:rFonts w:ascii="Open Sans" w:eastAsiaTheme="minorHAnsi" w:hAnsi="Open Sans" w:cs="Open Sans"/>
          <w:bCs/>
          <w:sz w:val="24"/>
          <w:szCs w:val="24"/>
          <w:lang w:eastAsia="en-US"/>
        </w:rPr>
        <w:t xml:space="preserve">”. 7 - Desse modo, constata-se que a Corte regional, ao reformar a sentença para condenar as reclamadas ao pagamento da multa prevista no artigo 477, § 8º, da CLT em decorrência de atraso na entrega dos documentos relativos à ruptura contratual, deu a exata subsunção dos fatos aos comandos insertos no artigo 477, §§6º e 8º, da CLT. </w:t>
      </w:r>
      <w:r w:rsidRPr="007204D6">
        <w:rPr>
          <w:rFonts w:ascii="Open Sans" w:eastAsiaTheme="minorEastAsia" w:hAnsi="Open Sans" w:cs="Open Sans"/>
          <w:bCs/>
          <w:sz w:val="24"/>
          <w:szCs w:val="24"/>
        </w:rPr>
        <w:t>8 - Agravo de instrumento a que se nega provimento</w:t>
      </w:r>
      <w:r w:rsidRPr="007204D6">
        <w:rPr>
          <w:rFonts w:ascii="Open Sans" w:eastAsiaTheme="minorEastAsia" w:hAnsi="Open Sans" w:cs="Open Sans"/>
          <w:sz w:val="24"/>
          <w:szCs w:val="24"/>
        </w:rPr>
        <w:t xml:space="preserve">. </w:t>
      </w:r>
      <w:r w:rsidRPr="007204D6">
        <w:rPr>
          <w:rFonts w:ascii="Open Sans" w:eastAsiaTheme="minorEastAsia" w:hAnsi="Open Sans" w:cs="Open Sans"/>
          <w:bCs/>
          <w:color w:val="000000"/>
          <w:sz w:val="24"/>
          <w:szCs w:val="24"/>
        </w:rPr>
        <w:t xml:space="preserve">[...]” </w:t>
      </w:r>
      <w:r w:rsidRPr="007204D6">
        <w:rPr>
          <w:rFonts w:ascii="Open Sans" w:eastAsiaTheme="minorEastAsia" w:hAnsi="Open Sans" w:cs="Open Sans"/>
          <w:color w:val="000000"/>
          <w:sz w:val="24"/>
          <w:szCs w:val="24"/>
        </w:rPr>
        <w:t>(</w:t>
      </w:r>
      <w:bookmarkStart w:id="2" w:name="NumProc"/>
      <w:r w:rsidRPr="007204D6">
        <w:rPr>
          <w:rFonts w:ascii="Open Sans" w:eastAsiaTheme="minorEastAsia" w:hAnsi="Open Sans" w:cs="Open Sans"/>
          <w:color w:val="000000"/>
          <w:sz w:val="24"/>
          <w:szCs w:val="24"/>
        </w:rPr>
        <w:fldChar w:fldCharType="begin"/>
      </w:r>
      <w:r w:rsidRPr="007204D6">
        <w:rPr>
          <w:rFonts w:ascii="Open Sans" w:eastAsiaTheme="minorEastAsia" w:hAnsi="Open Sans" w:cs="Open Sans"/>
          <w:color w:val="000000"/>
          <w:sz w:val="24"/>
          <w:szCs w:val="24"/>
        </w:rPr>
        <w:instrText xml:space="preserve"> HYPERLINK "https://consultaprocessual.tst.jus.br/consultaProcessual/consultaTstNumUnica.do?consulta=Consultar&amp;conscsjt=&amp;numeroTst=10849&amp;digitoTst=48&amp;anoTst=2021&amp;orgaoTst=5&amp;tribunalTst=03&amp;varaTst=0111&amp;submit=Consultar" </w:instrText>
      </w:r>
      <w:r w:rsidRPr="007204D6">
        <w:rPr>
          <w:rFonts w:ascii="Open Sans" w:eastAsiaTheme="minorEastAsia" w:hAnsi="Open Sans" w:cs="Open Sans"/>
          <w:color w:val="000000"/>
          <w:sz w:val="24"/>
          <w:szCs w:val="24"/>
        </w:rPr>
        <w:fldChar w:fldCharType="separate"/>
      </w:r>
      <w:r w:rsidRPr="007204D6">
        <w:rPr>
          <w:rFonts w:ascii="Open Sans" w:eastAsiaTheme="minorEastAsia" w:hAnsi="Open Sans" w:cs="Open Sans"/>
          <w:color w:val="0000FF" w:themeColor="hyperlink"/>
          <w:sz w:val="24"/>
          <w:szCs w:val="24"/>
          <w:u w:val="single"/>
        </w:rPr>
        <w:t>TST-AIRR-10849-48.2021.5.03.0111</w:t>
      </w:r>
      <w:bookmarkEnd w:id="2"/>
      <w:r w:rsidRPr="007204D6">
        <w:rPr>
          <w:rFonts w:ascii="Open Sans" w:eastAsiaTheme="minorEastAsia" w:hAnsi="Open Sans" w:cs="Open Sans"/>
          <w:color w:val="000000"/>
          <w:sz w:val="24"/>
          <w:szCs w:val="24"/>
        </w:rPr>
        <w:fldChar w:fldCharType="end"/>
      </w:r>
      <w:r w:rsidRPr="007204D6">
        <w:rPr>
          <w:rFonts w:ascii="Open Sans" w:eastAsiaTheme="minorEastAsia" w:hAnsi="Open Sans" w:cs="Open Sans"/>
          <w:color w:val="000000"/>
          <w:sz w:val="24"/>
          <w:szCs w:val="24"/>
        </w:rPr>
        <w:t xml:space="preserve">, 6ª Turma, rel. Min. </w:t>
      </w:r>
      <w:r w:rsidRPr="007204D6">
        <w:rPr>
          <w:rFonts w:ascii="Open Sans" w:eastAsiaTheme="minorEastAsia" w:hAnsi="Open Sans" w:cs="Open Sans"/>
          <w:bCs/>
          <w:color w:val="000000"/>
          <w:sz w:val="24"/>
          <w:szCs w:val="24"/>
          <w:shd w:val="clear" w:color="auto" w:fill="FFFFFF"/>
        </w:rPr>
        <w:t>Kátia Magalhães Arruda</w:t>
      </w:r>
      <w:r w:rsidRPr="007204D6">
        <w:rPr>
          <w:rFonts w:ascii="Open Sans" w:eastAsiaTheme="minorEastAsia" w:hAnsi="Open Sans" w:cs="Open Sans"/>
          <w:color w:val="000000"/>
          <w:sz w:val="24"/>
          <w:szCs w:val="24"/>
        </w:rPr>
        <w:t xml:space="preserve">, julgado em 09/11/2022) </w:t>
      </w:r>
    </w:p>
    <w:p w:rsidR="007204D6" w:rsidRPr="007204D6" w:rsidRDefault="007204D6" w:rsidP="007204D6">
      <w:pPr>
        <w:autoSpaceDE/>
        <w:autoSpaceDN/>
        <w:ind w:left="-284" w:right="367"/>
        <w:jc w:val="both"/>
        <w:rPr>
          <w:rFonts w:ascii="Open Sans" w:hAnsi="Open Sans" w:cs="Open Sans"/>
          <w:sz w:val="24"/>
          <w:szCs w:val="24"/>
          <w:u w:val="single"/>
        </w:rPr>
      </w:pPr>
    </w:p>
    <w:p w:rsidR="007204D6" w:rsidRPr="007204D6" w:rsidRDefault="007204D6" w:rsidP="007204D6">
      <w:pPr>
        <w:autoSpaceDE/>
        <w:autoSpaceDN/>
        <w:ind w:left="-284" w:right="367"/>
        <w:jc w:val="both"/>
        <w:rPr>
          <w:rFonts w:ascii="Open Sans" w:eastAsiaTheme="minorHAnsi" w:hAnsi="Open Sans" w:cs="Open Sans"/>
          <w:sz w:val="24"/>
          <w:szCs w:val="24"/>
          <w:lang w:eastAsia="en-US"/>
        </w:rPr>
      </w:pPr>
      <w:proofErr w:type="gramStart"/>
      <w:r w:rsidRPr="007204D6">
        <w:rPr>
          <w:rFonts w:ascii="Open Sans" w:eastAsiaTheme="minorHAnsi" w:hAnsi="Open Sans" w:cs="Open Sans"/>
          <w:sz w:val="24"/>
          <w:szCs w:val="24"/>
          <w:lang w:eastAsia="en-US"/>
        </w:rPr>
        <w:t>“</w:t>
      </w:r>
      <w:r w:rsidRPr="007204D6">
        <w:rPr>
          <w:rFonts w:ascii="Open Sans" w:eastAsiaTheme="minorHAnsi" w:hAnsi="Open Sans" w:cs="Open Sans"/>
          <w:bCs/>
          <w:sz w:val="24"/>
          <w:szCs w:val="24"/>
          <w:lang w:eastAsia="en-US"/>
        </w:rPr>
        <w:t>RECURSO DE REVISTA DA RÉ.</w:t>
      </w:r>
      <w:proofErr w:type="gramEnd"/>
      <w:r w:rsidRPr="007204D6">
        <w:rPr>
          <w:rFonts w:ascii="Open Sans" w:eastAsiaTheme="minorHAnsi" w:hAnsi="Open Sans" w:cs="Open Sans"/>
          <w:bCs/>
          <w:sz w:val="24"/>
          <w:szCs w:val="24"/>
          <w:lang w:eastAsia="en-US"/>
        </w:rPr>
        <w:t xml:space="preserve"> LEI Nº 13.467/2017. ADICIONAL DE PERICULOSIDADE. ENERGIA ELÉTRICA. ARTIGO 193, I, DA CLT, INSERIDO PELA LEI Nº 12.740/2012. APLICABILIDADE DA LEI. NECESSIDADE DE REGULAMENTAÇÃO. DIREITO DEVIDO C</w:t>
      </w:r>
      <w:r w:rsidR="00132C3E">
        <w:rPr>
          <w:rFonts w:ascii="Open Sans" w:eastAsiaTheme="minorHAnsi" w:hAnsi="Open Sans" w:cs="Open Sans"/>
          <w:bCs/>
          <w:sz w:val="24"/>
          <w:szCs w:val="24"/>
          <w:lang w:eastAsia="en-US"/>
        </w:rPr>
        <w:t>OM BASE NA ORIENTAÇÃO JURISPRUDE</w:t>
      </w:r>
      <w:bookmarkStart w:id="3" w:name="_GoBack"/>
      <w:bookmarkEnd w:id="3"/>
      <w:r w:rsidRPr="007204D6">
        <w:rPr>
          <w:rFonts w:ascii="Open Sans" w:eastAsiaTheme="minorHAnsi" w:hAnsi="Open Sans" w:cs="Open Sans"/>
          <w:bCs/>
          <w:sz w:val="24"/>
          <w:szCs w:val="24"/>
          <w:lang w:eastAsia="en-US"/>
        </w:rPr>
        <w:t>NCIAL Nº 324 DA SBDI-1 DO TST. TRANSCENDÊNCIA JURÍDICA CONSTATADA.</w:t>
      </w:r>
      <w:r w:rsidRPr="007204D6">
        <w:rPr>
          <w:rFonts w:ascii="Open Sans" w:eastAsiaTheme="minorHAnsi" w:hAnsi="Open Sans" w:cs="Open Sans"/>
          <w:sz w:val="24"/>
          <w:szCs w:val="24"/>
          <w:lang w:eastAsia="en-US"/>
        </w:rPr>
        <w:t xml:space="preserve"> A energia elétrica foi prevista como causa geradora do adicional de periculosidade, inicialmente, na Lei 7.369/85 e no Decreto nº 93.412/86, que a regulamentou. Em seguida, em razão da controvérsia instalada acerca da abrangência do novo direito, esta Corte pacificou o entendimento de que o aludido adicional seria devido não apenas àqueles que trabalhassem no chamado “sistema </w:t>
      </w:r>
      <w:r w:rsidRPr="007204D6">
        <w:rPr>
          <w:rFonts w:ascii="Open Sans" w:eastAsiaTheme="minorHAnsi" w:hAnsi="Open Sans" w:cs="Open Sans"/>
          <w:sz w:val="24"/>
          <w:szCs w:val="24"/>
          <w:lang w:eastAsia="en-US"/>
        </w:rPr>
        <w:lastRenderedPageBreak/>
        <w:t xml:space="preserve">elétrico de potência”, mas a todos os que, mesmo em unidade consumidora, o fizessem em condições de risco equivalentes. Nesse sentido foi editada a Orientação Jurisprudencial nº 324 pela SBDI-1 do TST. Posteriormente, a Lei nº 12.740/12 revogou a Lei nº 7.369/85 e inseriu expressamente no artigo 193 da CLT a previsão genérica de direito ao adicional de periculosidade por exposição à eletricidade, inciso que veio a ser regulamentado em 16/07/2014 pela Portaria nº 1.078/14 do Ministério do Trabalho. É certo que o artigo 196 da CLT dispõe que: "os efeitos pecuniários decorrentes do trabalho em condições de insalubridade ou periculosidade serão devidos a contar da data da inclusão da respectiva atividade nos quadros aprovados pelo Ministro do Trabalho, respeitadas as normas do artigo 11". Ainda, não se olvida que esta Corte, analisando o marco inicial para pagamento do adicional de periculosidade quanto à atividade de segurança pessoal ou patrimonial, também inserida CLT pela Lei nº 12.710/12 (inciso II do artigo 193), tem entendido que o aludido adicional somente é devido a partir de sua regulamentação. Contudo, a hipótese da energia elétrica se distingue do entendimento mencionado. Isso porque, como visto, sempre esteve prevista no ordenamento jurídico como causa geradora de </w:t>
      </w:r>
      <w:proofErr w:type="gramStart"/>
      <w:r w:rsidRPr="007204D6">
        <w:rPr>
          <w:rFonts w:ascii="Open Sans" w:eastAsiaTheme="minorHAnsi" w:hAnsi="Open Sans" w:cs="Open Sans"/>
          <w:sz w:val="24"/>
          <w:szCs w:val="24"/>
          <w:lang w:eastAsia="en-US"/>
        </w:rPr>
        <w:t>periculosidade</w:t>
      </w:r>
      <w:proofErr w:type="gramEnd"/>
      <w:r w:rsidRPr="007204D6">
        <w:rPr>
          <w:rFonts w:ascii="Open Sans" w:eastAsiaTheme="minorHAnsi" w:hAnsi="Open Sans" w:cs="Open Sans"/>
          <w:sz w:val="24"/>
          <w:szCs w:val="24"/>
          <w:lang w:eastAsia="en-US"/>
        </w:rPr>
        <w:t xml:space="preserve"> e, ainda, não apenas para os eletricitários. Por outro lado, é nítido que a Lei nº 12.740/12, nesse ponto, ressalvada a alteração havida na base de cálculo, se tratou de norma mais benéfica que a legislação revogada, uma vez que criou nova hipótese de atividade perigosa e consolidou o alcance amplo dos casos relativos à energia elétrica, resolvendo de vez antiga celeuma existente sobre a matéria. Desse modo, ainda que tenha revogado a Lei nº 7.369/85, não se pode entender que, no interregno entre sua vigência e posterior regulamentação, o direito ao adicional pela exposição à eletricidade, deixou de existir. </w:t>
      </w:r>
      <w:r w:rsidRPr="007204D6">
        <w:rPr>
          <w:rFonts w:ascii="Open Sans" w:eastAsiaTheme="minorHAnsi" w:hAnsi="Open Sans" w:cs="Open Sans"/>
          <w:bCs/>
          <w:sz w:val="24"/>
          <w:szCs w:val="24"/>
          <w:lang w:eastAsia="en-US"/>
        </w:rPr>
        <w:t xml:space="preserve">Com efeito, chancelar esse raciocínio seria atribuir a uma lei cujo um dos escopos foi o de ampliar um direito trabalhista o efeito exatamente contrário: de desregulação e de diminuição de efetividade desse mesmo direito, o que viola frontalmente </w:t>
      </w:r>
      <w:proofErr w:type="gramStart"/>
      <w:r w:rsidRPr="007204D6">
        <w:rPr>
          <w:rFonts w:ascii="Open Sans" w:eastAsiaTheme="minorHAnsi" w:hAnsi="Open Sans" w:cs="Open Sans"/>
          <w:bCs/>
          <w:sz w:val="24"/>
          <w:szCs w:val="24"/>
          <w:lang w:eastAsia="en-US"/>
        </w:rPr>
        <w:t>os Princípio</w:t>
      </w:r>
      <w:proofErr w:type="gramEnd"/>
      <w:r w:rsidRPr="007204D6">
        <w:rPr>
          <w:rFonts w:ascii="Open Sans" w:eastAsiaTheme="minorHAnsi" w:hAnsi="Open Sans" w:cs="Open Sans"/>
          <w:bCs/>
          <w:sz w:val="24"/>
          <w:szCs w:val="24"/>
          <w:lang w:eastAsia="en-US"/>
        </w:rPr>
        <w:t xml:space="preserve"> da Vedação ao Retrocesso, da Máxima Efetividade dos Direitos Fundamentais e da Dignidade da Pessoa Humana</w:t>
      </w:r>
      <w:r w:rsidRPr="007204D6">
        <w:rPr>
          <w:rFonts w:ascii="Open Sans" w:eastAsiaTheme="minorHAnsi" w:hAnsi="Open Sans" w:cs="Open Sans"/>
          <w:sz w:val="24"/>
          <w:szCs w:val="24"/>
          <w:lang w:eastAsia="en-US"/>
        </w:rPr>
        <w:t xml:space="preserve">. Desse modo, no período entre a revogação da Lei nº 7.369/85 até a regulamentação do inciso I do artigo 193 da CLT pela Portaria nº 1.078/14 do Ministério do Trabalho, o adicional de periculosidade pela exposição à energia elétrica é devido na forma da jurisprudência então consolidada desta Corte – ou seja, nos termos da Orientação Jurisprudencial nº 324 pela SBDI-1 do TST. </w:t>
      </w:r>
      <w:r w:rsidRPr="007204D6">
        <w:rPr>
          <w:rFonts w:ascii="Open Sans" w:eastAsiaTheme="minorHAnsi" w:hAnsi="Open Sans" w:cs="Open Sans"/>
          <w:bCs/>
          <w:sz w:val="24"/>
          <w:szCs w:val="24"/>
          <w:lang w:eastAsia="en-US"/>
        </w:rPr>
        <w:t>No presente caso</w:t>
      </w:r>
      <w:r w:rsidRPr="007204D6">
        <w:rPr>
          <w:rFonts w:ascii="Open Sans" w:eastAsiaTheme="minorHAnsi" w:hAnsi="Open Sans" w:cs="Open Sans"/>
          <w:sz w:val="24"/>
          <w:szCs w:val="24"/>
          <w:lang w:eastAsia="en-US"/>
        </w:rPr>
        <w:t xml:space="preserve">, não há registro de alteração das condições de trabalho do autor no referido lapso temporal. Ao contrário, consta do acórdão regional que: "o acervo probatório autoriza o reconhecimento de contato permanente na área de risco, ainda que de forma intermitente, exercendo atividade que pode provocar a incapacidade laboral ou até mesmo levá-lo a óbito, sem a proteção adequada". Afastada, portanto, a tese de pagamento do adicional de periculosidade somente a partir da regulamentação do artigo 193, I, da CLT. Acórdão regional que se mantém. </w:t>
      </w:r>
      <w:proofErr w:type="gramStart"/>
      <w:r w:rsidRPr="007204D6">
        <w:rPr>
          <w:rFonts w:ascii="Open Sans" w:eastAsiaTheme="minorHAnsi" w:hAnsi="Open Sans" w:cs="Open Sans"/>
          <w:sz w:val="24"/>
          <w:szCs w:val="24"/>
          <w:lang w:eastAsia="en-US"/>
        </w:rPr>
        <w:t>Recurso de revista não conhecido</w:t>
      </w:r>
      <w:r w:rsidRPr="007204D6">
        <w:rPr>
          <w:rFonts w:ascii="Open Sans" w:eastAsiaTheme="minorHAnsi" w:hAnsi="Open Sans" w:cs="Open Sans"/>
          <w:bCs/>
          <w:color w:val="000000"/>
          <w:sz w:val="24"/>
          <w:szCs w:val="24"/>
          <w:lang w:eastAsia="en-US"/>
        </w:rPr>
        <w:t>.</w:t>
      </w:r>
      <w:r w:rsidRPr="007204D6">
        <w:rPr>
          <w:rFonts w:ascii="Open Sans" w:eastAsiaTheme="minorHAnsi" w:hAnsi="Open Sans" w:cs="Open Sans"/>
          <w:sz w:val="24"/>
          <w:szCs w:val="24"/>
          <w:lang w:eastAsia="en-US"/>
        </w:rPr>
        <w:t>”</w:t>
      </w:r>
      <w:proofErr w:type="gramEnd"/>
      <w:r w:rsidRPr="007204D6">
        <w:rPr>
          <w:rFonts w:ascii="Open Sans" w:eastAsiaTheme="minorHAnsi" w:hAnsi="Open Sans" w:cs="Open Sans"/>
          <w:sz w:val="24"/>
          <w:szCs w:val="24"/>
          <w:lang w:eastAsia="en-US"/>
        </w:rPr>
        <w:t xml:space="preserve"> (</w:t>
      </w:r>
      <w:hyperlink r:id="rId23" w:history="1">
        <w:r w:rsidRPr="007204D6">
          <w:rPr>
            <w:rFonts w:ascii="Open Sans" w:eastAsiaTheme="minorHAnsi" w:hAnsi="Open Sans" w:cs="Open Sans"/>
            <w:color w:val="0000FF" w:themeColor="hyperlink"/>
            <w:sz w:val="24"/>
            <w:szCs w:val="24"/>
            <w:u w:val="single"/>
            <w:lang w:eastAsia="en-US"/>
          </w:rPr>
          <w:t>TST-RR-1594-</w:t>
        </w:r>
        <w:r w:rsidRPr="007204D6">
          <w:rPr>
            <w:rFonts w:ascii="Open Sans" w:eastAsiaTheme="minorHAnsi" w:hAnsi="Open Sans" w:cs="Open Sans"/>
            <w:color w:val="0000FF" w:themeColor="hyperlink"/>
            <w:sz w:val="24"/>
            <w:szCs w:val="24"/>
            <w:u w:val="single"/>
            <w:lang w:eastAsia="en-US"/>
          </w:rPr>
          <w:lastRenderedPageBreak/>
          <w:t>40.2017.5.10.0005</w:t>
        </w:r>
      </w:hyperlink>
      <w:r w:rsidRPr="007204D6">
        <w:rPr>
          <w:rFonts w:ascii="Open Sans" w:eastAsiaTheme="minorHAnsi" w:hAnsi="Open Sans" w:cs="Open Sans"/>
          <w:sz w:val="24"/>
          <w:szCs w:val="24"/>
          <w:lang w:eastAsia="en-US"/>
        </w:rPr>
        <w:t xml:space="preserve">, 7ª Turma, rel. Min. </w:t>
      </w:r>
      <w:r w:rsidRPr="007204D6">
        <w:rPr>
          <w:rFonts w:ascii="Open Sans" w:hAnsi="Open Sans" w:cs="Open Sans"/>
          <w:bCs/>
          <w:sz w:val="24"/>
          <w:szCs w:val="24"/>
        </w:rPr>
        <w:t>Cláudio Mascarenhas Brandão</w:t>
      </w:r>
      <w:r w:rsidRPr="007204D6">
        <w:rPr>
          <w:rFonts w:ascii="Open Sans" w:eastAsiaTheme="minorHAnsi" w:hAnsi="Open Sans" w:cs="Open Sans"/>
          <w:sz w:val="24"/>
          <w:szCs w:val="24"/>
          <w:lang w:eastAsia="en-US"/>
        </w:rPr>
        <w:t xml:space="preserve">, julgado em 9/11/2022) </w:t>
      </w:r>
    </w:p>
    <w:p w:rsidR="007204D6" w:rsidRPr="007204D6" w:rsidRDefault="007204D6" w:rsidP="007204D6">
      <w:pPr>
        <w:autoSpaceDE/>
        <w:autoSpaceDN/>
        <w:ind w:left="-284" w:right="367"/>
        <w:jc w:val="both"/>
        <w:rPr>
          <w:rFonts w:ascii="Open Sans" w:hAnsi="Open Sans" w:cs="Open Sans"/>
          <w:sz w:val="24"/>
          <w:szCs w:val="24"/>
          <w:u w:val="single"/>
        </w:rPr>
      </w:pPr>
    </w:p>
    <w:p w:rsidR="007204D6" w:rsidRPr="007204D6" w:rsidRDefault="007204D6" w:rsidP="007204D6">
      <w:pPr>
        <w:autoSpaceDE/>
        <w:autoSpaceDN/>
        <w:ind w:left="-284" w:right="367"/>
        <w:jc w:val="both"/>
        <w:rPr>
          <w:rFonts w:ascii="Open Sans" w:eastAsiaTheme="minorHAnsi" w:hAnsi="Open Sans" w:cs="Open Sans"/>
          <w:sz w:val="24"/>
          <w:szCs w:val="24"/>
          <w:lang w:eastAsia="en-US"/>
        </w:rPr>
      </w:pPr>
      <w:proofErr w:type="gramStart"/>
      <w:r w:rsidRPr="007204D6">
        <w:rPr>
          <w:rFonts w:ascii="Open Sans" w:eastAsiaTheme="minorHAnsi" w:hAnsi="Open Sans" w:cs="Open Sans"/>
          <w:sz w:val="24"/>
          <w:szCs w:val="24"/>
          <w:lang w:eastAsia="en-US"/>
        </w:rPr>
        <w:t xml:space="preserve">“[...] </w:t>
      </w:r>
      <w:r w:rsidRPr="007204D6">
        <w:rPr>
          <w:rFonts w:ascii="Open Sans" w:eastAsiaTheme="minorHAnsi" w:hAnsi="Open Sans" w:cs="Open Sans"/>
          <w:bCs/>
          <w:sz w:val="24"/>
          <w:szCs w:val="24"/>
          <w:lang w:eastAsia="en-US"/>
        </w:rPr>
        <w:t>RESPONSABILIDADE CIVIL OBJETIVA DA EMPREGADORA.</w:t>
      </w:r>
      <w:proofErr w:type="gramEnd"/>
      <w:r w:rsidRPr="007204D6">
        <w:rPr>
          <w:rFonts w:ascii="Open Sans" w:eastAsiaTheme="minorHAnsi" w:hAnsi="Open Sans" w:cs="Open Sans"/>
          <w:bCs/>
          <w:sz w:val="24"/>
          <w:szCs w:val="24"/>
          <w:lang w:eastAsia="en-US"/>
        </w:rPr>
        <w:t xml:space="preserve"> INDENIZAÇÕES POR DANOS MORAIS E MATERIAIS PARA OS PAIS DO </w:t>
      </w:r>
      <w:r w:rsidRPr="007204D6">
        <w:rPr>
          <w:rFonts w:ascii="Open Sans" w:eastAsiaTheme="minorHAnsi" w:hAnsi="Open Sans" w:cs="Open Sans"/>
          <w:bCs/>
          <w:i/>
          <w:iCs/>
          <w:sz w:val="24"/>
          <w:szCs w:val="24"/>
          <w:lang w:eastAsia="en-US"/>
        </w:rPr>
        <w:t>DE CUJUS</w:t>
      </w:r>
      <w:r w:rsidRPr="007204D6">
        <w:rPr>
          <w:rFonts w:ascii="Open Sans" w:eastAsiaTheme="minorHAnsi" w:hAnsi="Open Sans" w:cs="Open Sans"/>
          <w:bCs/>
          <w:sz w:val="24"/>
          <w:szCs w:val="24"/>
          <w:lang w:eastAsia="en-US"/>
        </w:rPr>
        <w:t>. QUEDA DE AVIÃO. MORTE DO EMPREGADO DURANTE VIAGEM INTERNACIONAL A TRABALHO. ACIDENTE TÍPICO DE TRABALHO. TRANSPORTE FORNECIDO E CUSTEADO PELA EMPREGADORA. CONTRATO DE TRANSPORTE CONEXO AO CONTRATO DE TRABALHO. EXPOSIÇÃO HABITUAL A RISCO.</w:t>
      </w:r>
      <w:r w:rsidRPr="007204D6">
        <w:rPr>
          <w:rFonts w:ascii="Open Sans" w:eastAsiaTheme="minorHAnsi" w:hAnsi="Open Sans" w:cs="Open Sans"/>
          <w:i/>
          <w:iCs/>
          <w:sz w:val="24"/>
          <w:szCs w:val="24"/>
          <w:lang w:eastAsia="en-US"/>
        </w:rPr>
        <w:t xml:space="preserve"> </w:t>
      </w:r>
      <w:r w:rsidRPr="007204D6">
        <w:rPr>
          <w:rFonts w:ascii="Open Sans" w:eastAsiaTheme="minorHAnsi" w:hAnsi="Open Sans" w:cs="Open Sans"/>
          <w:bCs/>
          <w:sz w:val="24"/>
          <w:szCs w:val="24"/>
          <w:lang w:eastAsia="en-US"/>
        </w:rPr>
        <w:t xml:space="preserve">RESPONSABILIDADE PELO RISCO DA ATIVIDADE LIGADO AOS DESLOCAMENTOS (VIAGENS) COMUNS. </w:t>
      </w:r>
      <w:r w:rsidRPr="007204D6">
        <w:rPr>
          <w:rFonts w:ascii="Open Sans" w:eastAsiaTheme="minorHAnsi" w:hAnsi="Open Sans" w:cs="Open Sans"/>
          <w:sz w:val="24"/>
          <w:szCs w:val="24"/>
          <w:lang w:eastAsia="en-US"/>
        </w:rPr>
        <w:t xml:space="preserve">Consta no acórdão regional que o trabalhador, que exercia a função de jogador de futebol na empresa ré, foi vítima de acidente aéreo fatal em 29/11/2016, em razão do trabalho e em transporte por ela fornecido, ao se deslocar para Medellín, na Colômbia, local onde a equipe da ré disputaria a partida final da Copa </w:t>
      </w:r>
      <w:proofErr w:type="spellStart"/>
      <w:r w:rsidRPr="007204D6">
        <w:rPr>
          <w:rFonts w:ascii="Open Sans" w:eastAsiaTheme="minorHAnsi" w:hAnsi="Open Sans" w:cs="Open Sans"/>
          <w:sz w:val="24"/>
          <w:szCs w:val="24"/>
          <w:lang w:eastAsia="en-US"/>
        </w:rPr>
        <w:t>Sulamericana</w:t>
      </w:r>
      <w:proofErr w:type="spellEnd"/>
      <w:r w:rsidRPr="007204D6">
        <w:rPr>
          <w:rFonts w:ascii="Open Sans" w:eastAsiaTheme="minorHAnsi" w:hAnsi="Open Sans" w:cs="Open Sans"/>
          <w:sz w:val="24"/>
          <w:szCs w:val="24"/>
          <w:lang w:eastAsia="en-US"/>
        </w:rPr>
        <w:t xml:space="preserve">. A primeira tese a ser afirmada é que, muito embora o acidente tenha ocorrido no deslocamento do empregado, </w:t>
      </w:r>
      <w:r w:rsidRPr="007204D6">
        <w:rPr>
          <w:rFonts w:ascii="Open Sans" w:eastAsiaTheme="minorHAnsi" w:hAnsi="Open Sans" w:cs="Open Sans"/>
          <w:bCs/>
          <w:sz w:val="24"/>
          <w:szCs w:val="24"/>
          <w:lang w:eastAsia="en-US"/>
        </w:rPr>
        <w:t>não se tratou de</w:t>
      </w:r>
      <w:r w:rsidRPr="007204D6">
        <w:rPr>
          <w:rFonts w:ascii="Open Sans" w:eastAsiaTheme="minorHAnsi" w:hAnsi="Open Sans" w:cs="Open Sans"/>
          <w:sz w:val="24"/>
          <w:szCs w:val="24"/>
          <w:lang w:eastAsia="en-US"/>
        </w:rPr>
        <w:t xml:space="preserve"> </w:t>
      </w:r>
      <w:r w:rsidRPr="007204D6">
        <w:rPr>
          <w:rFonts w:ascii="Open Sans" w:eastAsiaTheme="minorHAnsi" w:hAnsi="Open Sans" w:cs="Open Sans"/>
          <w:bCs/>
          <w:sz w:val="24"/>
          <w:szCs w:val="24"/>
          <w:lang w:eastAsia="en-US"/>
        </w:rPr>
        <w:t>acidente de trajeto</w:t>
      </w:r>
      <w:r w:rsidRPr="007204D6">
        <w:rPr>
          <w:rFonts w:ascii="Open Sans" w:eastAsiaTheme="minorHAnsi" w:hAnsi="Open Sans" w:cs="Open Sans"/>
          <w:sz w:val="24"/>
          <w:szCs w:val="24"/>
          <w:lang w:eastAsia="en-US"/>
        </w:rPr>
        <w:t xml:space="preserve">, previsto no artigo 21, IV, “d”, da Lei nº 8.213/1991. Essa modalidade de infortúnio ocorre no </w:t>
      </w:r>
      <w:r w:rsidRPr="007204D6">
        <w:rPr>
          <w:rFonts w:ascii="Open Sans" w:eastAsiaTheme="minorHAnsi" w:hAnsi="Open Sans" w:cs="Open Sans"/>
          <w:bCs/>
          <w:sz w:val="24"/>
          <w:szCs w:val="24"/>
          <w:lang w:eastAsia="en-US"/>
        </w:rPr>
        <w:t>deslocamento habitual</w:t>
      </w:r>
      <w:r w:rsidRPr="007204D6">
        <w:rPr>
          <w:rFonts w:ascii="Open Sans" w:eastAsiaTheme="minorHAnsi" w:hAnsi="Open Sans" w:cs="Open Sans"/>
          <w:sz w:val="24"/>
          <w:szCs w:val="24"/>
          <w:lang w:eastAsia="en-US"/>
        </w:rPr>
        <w:t xml:space="preserve"> do empregado de sua residência para o lugar onde trabalha e no seu retorno. Não é o caso dos autos. Conquanto seja comum o deslocamento dos profissionais que compõem o grupo formado por diretores, atletas, comissão técnica, responsáveis pelas atividades administrativas e de apoio para diversas cidades em que são realizados os jogos que a agremiação disputa nos diversos campeonatos de que participa, o percurso diariamente feito pelo falecido empregado alcançaria o trecho desde a sua residência até o local de trabalho, onde habitualmente exercia as suas atividades e, no caso, ele não estava a cumprir o referido percurso quando veio a ser vitimado. Registre-se o fato de </w:t>
      </w:r>
      <w:r w:rsidRPr="007204D6">
        <w:rPr>
          <w:rFonts w:ascii="Open Sans" w:eastAsiaTheme="minorHAnsi" w:hAnsi="Open Sans" w:cs="Open Sans"/>
          <w:bCs/>
          <w:sz w:val="24"/>
          <w:szCs w:val="24"/>
          <w:lang w:eastAsia="en-US"/>
        </w:rPr>
        <w:t>ser comum a realização de viagens</w:t>
      </w:r>
      <w:r w:rsidRPr="007204D6">
        <w:rPr>
          <w:rFonts w:ascii="Open Sans" w:eastAsiaTheme="minorHAnsi" w:hAnsi="Open Sans" w:cs="Open Sans"/>
          <w:sz w:val="24"/>
          <w:szCs w:val="24"/>
          <w:lang w:eastAsia="en-US"/>
        </w:rPr>
        <w:t xml:space="preserve"> e, particularmente no ano de 2016, a Associação Chapecoense de Futebol disputou três campeonatos de futebol ao mesmo tempo (Campeonato Brasileiro, Copa do Brasil e Copa </w:t>
      </w:r>
      <w:proofErr w:type="spellStart"/>
      <w:r w:rsidRPr="007204D6">
        <w:rPr>
          <w:rFonts w:ascii="Open Sans" w:eastAsiaTheme="minorHAnsi" w:hAnsi="Open Sans" w:cs="Open Sans"/>
          <w:sz w:val="24"/>
          <w:szCs w:val="24"/>
          <w:lang w:eastAsia="en-US"/>
        </w:rPr>
        <w:t>Sulamericana</w:t>
      </w:r>
      <w:proofErr w:type="spellEnd"/>
      <w:r w:rsidRPr="007204D6">
        <w:rPr>
          <w:rFonts w:ascii="Open Sans" w:eastAsiaTheme="minorHAnsi" w:hAnsi="Open Sans" w:cs="Open Sans"/>
          <w:sz w:val="24"/>
          <w:szCs w:val="24"/>
          <w:lang w:eastAsia="en-US"/>
        </w:rPr>
        <w:t xml:space="preserve">) e, para cumprir os compromissos deles decorrentes, fazia dos </w:t>
      </w:r>
      <w:proofErr w:type="gramStart"/>
      <w:r w:rsidRPr="007204D6">
        <w:rPr>
          <w:rFonts w:ascii="Open Sans" w:eastAsiaTheme="minorHAnsi" w:hAnsi="Open Sans" w:cs="Open Sans"/>
          <w:sz w:val="24"/>
          <w:szCs w:val="24"/>
          <w:lang w:eastAsia="en-US"/>
        </w:rPr>
        <w:t>deslocamentos</w:t>
      </w:r>
      <w:proofErr w:type="gramEnd"/>
      <w:r w:rsidRPr="007204D6">
        <w:rPr>
          <w:rFonts w:ascii="Open Sans" w:eastAsiaTheme="minorHAnsi" w:hAnsi="Open Sans" w:cs="Open Sans"/>
          <w:sz w:val="24"/>
          <w:szCs w:val="24"/>
          <w:lang w:eastAsia="en-US"/>
        </w:rPr>
        <w:t xml:space="preserve"> atividade rotineira. Dos 51 jogos de futebol que a ré disputou de abril a novembro de 2016, 26 foram “fora de casa”. Esses números demonstram que, independentemente do meio de transporte utilizado para se chegar aos locais onde foram disputados os jogos, o empregado</w:t>
      </w:r>
      <w:r w:rsidRPr="007204D6">
        <w:rPr>
          <w:rFonts w:ascii="Open Sans" w:eastAsiaTheme="minorHAnsi" w:hAnsi="Open Sans" w:cs="Open Sans"/>
          <w:i/>
          <w:iCs/>
          <w:sz w:val="24"/>
          <w:szCs w:val="24"/>
          <w:lang w:eastAsia="en-US"/>
        </w:rPr>
        <w:t xml:space="preserve"> </w:t>
      </w:r>
      <w:r w:rsidRPr="007204D6">
        <w:rPr>
          <w:rFonts w:ascii="Open Sans" w:eastAsiaTheme="minorHAnsi" w:hAnsi="Open Sans" w:cs="Open Sans"/>
          <w:sz w:val="24"/>
          <w:szCs w:val="24"/>
          <w:lang w:eastAsia="en-US"/>
        </w:rPr>
        <w:t xml:space="preserve">estava claramente exposto a um maior risco de sofrer acidentes. </w:t>
      </w:r>
      <w:r w:rsidRPr="007204D6">
        <w:rPr>
          <w:rFonts w:ascii="Open Sans" w:eastAsiaTheme="minorHAnsi" w:hAnsi="Open Sans" w:cs="Open Sans"/>
          <w:bCs/>
          <w:sz w:val="24"/>
          <w:szCs w:val="24"/>
          <w:lang w:eastAsia="en-US"/>
        </w:rPr>
        <w:t>Viajar fazia parte de sua rotina, de modo a atrair o imprescindível nexo de causalidade com o contrato de trabalho</w:t>
      </w:r>
      <w:r w:rsidRPr="007204D6">
        <w:rPr>
          <w:rFonts w:ascii="Open Sans" w:eastAsiaTheme="minorHAnsi" w:hAnsi="Open Sans" w:cs="Open Sans"/>
          <w:sz w:val="24"/>
          <w:szCs w:val="24"/>
          <w:lang w:eastAsia="en-US"/>
        </w:rPr>
        <w:t xml:space="preserve"> e, por conseguinte, o enquadramento na previsão contida no artigo 19, </w:t>
      </w:r>
      <w:r w:rsidRPr="007204D6">
        <w:rPr>
          <w:rFonts w:ascii="Open Sans" w:eastAsiaTheme="minorHAnsi" w:hAnsi="Open Sans" w:cs="Open Sans"/>
          <w:i/>
          <w:iCs/>
          <w:sz w:val="24"/>
          <w:szCs w:val="24"/>
          <w:lang w:eastAsia="en-US"/>
        </w:rPr>
        <w:t>caput</w:t>
      </w:r>
      <w:r w:rsidRPr="007204D6">
        <w:rPr>
          <w:rFonts w:ascii="Open Sans" w:eastAsiaTheme="minorHAnsi" w:hAnsi="Open Sans" w:cs="Open Sans"/>
          <w:sz w:val="24"/>
          <w:szCs w:val="24"/>
          <w:lang w:eastAsia="en-US"/>
        </w:rPr>
        <w:t>, da Lei nº 8.213/1991.</w:t>
      </w:r>
      <w:r w:rsidRPr="007204D6">
        <w:rPr>
          <w:rFonts w:ascii="Open Sans" w:eastAsiaTheme="minorHAnsi" w:hAnsi="Open Sans" w:cs="Open Sans"/>
          <w:bCs/>
          <w:sz w:val="24"/>
          <w:szCs w:val="24"/>
          <w:lang w:eastAsia="en-US"/>
        </w:rPr>
        <w:t xml:space="preserve"> </w:t>
      </w:r>
      <w:r w:rsidRPr="007204D6">
        <w:rPr>
          <w:rFonts w:ascii="Open Sans" w:eastAsiaTheme="minorHAnsi" w:hAnsi="Open Sans" w:cs="Open Sans"/>
          <w:sz w:val="24"/>
          <w:szCs w:val="24"/>
          <w:lang w:eastAsia="en-US"/>
        </w:rPr>
        <w:t xml:space="preserve">Mas, ainda que se considerasse que, no momento do acidente, ele não estivesse estritamente a serviço do empregador, remanesce a previsão contida no artigo 21, IV, “c”, da referida lei, que trata do acidente resultante de </w:t>
      </w:r>
      <w:r w:rsidRPr="007204D6">
        <w:rPr>
          <w:rFonts w:ascii="Open Sans" w:eastAsiaTheme="minorHAnsi" w:hAnsi="Open Sans" w:cs="Open Sans"/>
          <w:bCs/>
          <w:sz w:val="24"/>
          <w:szCs w:val="24"/>
          <w:lang w:eastAsia="en-US"/>
        </w:rPr>
        <w:t>viagem a serviço da empresa,</w:t>
      </w:r>
      <w:r w:rsidRPr="007204D6">
        <w:rPr>
          <w:rFonts w:ascii="Open Sans" w:eastAsiaTheme="minorHAnsi" w:hAnsi="Open Sans" w:cs="Open Sans"/>
          <w:sz w:val="24"/>
          <w:szCs w:val="24"/>
          <w:lang w:eastAsia="en-US"/>
        </w:rPr>
        <w:t xml:space="preserve"> incluído no rol dos denominados “acidentes por equiparação”. Ademais, é fato incontroverso que</w:t>
      </w:r>
      <w:r w:rsidRPr="007204D6">
        <w:rPr>
          <w:rFonts w:ascii="Open Sans" w:eastAsiaTheme="minorHAnsi" w:hAnsi="Open Sans" w:cs="Open Sans"/>
          <w:bCs/>
          <w:sz w:val="24"/>
          <w:szCs w:val="24"/>
          <w:lang w:eastAsia="en-US"/>
        </w:rPr>
        <w:t xml:space="preserve"> o transporte aéreo foi fornecido e custeado pela empregadora para atender a circunstância inerente à sua própria atividade econômica</w:t>
      </w:r>
      <w:r w:rsidRPr="007204D6">
        <w:rPr>
          <w:rFonts w:ascii="Open Sans" w:eastAsiaTheme="minorHAnsi" w:hAnsi="Open Sans" w:cs="Open Sans"/>
          <w:sz w:val="24"/>
          <w:szCs w:val="24"/>
          <w:lang w:eastAsia="en-US"/>
        </w:rPr>
        <w:t xml:space="preserve">. Trata-se, assim, de </w:t>
      </w:r>
      <w:r w:rsidRPr="007204D6">
        <w:rPr>
          <w:rFonts w:ascii="Open Sans" w:eastAsiaTheme="minorHAnsi" w:hAnsi="Open Sans" w:cs="Open Sans"/>
          <w:bCs/>
          <w:sz w:val="24"/>
          <w:szCs w:val="24"/>
          <w:lang w:eastAsia="en-US"/>
        </w:rPr>
        <w:lastRenderedPageBreak/>
        <w:t>contrato acessório conexo ao contrato de trabalho em que o empregador, a fim de viabilizar a execução de sua atividade econômica</w:t>
      </w:r>
      <w:r w:rsidRPr="007204D6">
        <w:rPr>
          <w:rFonts w:ascii="Open Sans" w:eastAsiaTheme="minorHAnsi" w:hAnsi="Open Sans" w:cs="Open Sans"/>
          <w:sz w:val="24"/>
          <w:szCs w:val="24"/>
          <w:lang w:eastAsia="en-US"/>
        </w:rPr>
        <w:t xml:space="preserve">, </w:t>
      </w:r>
      <w:r w:rsidRPr="007204D6">
        <w:rPr>
          <w:rFonts w:ascii="Open Sans" w:eastAsiaTheme="minorHAnsi" w:hAnsi="Open Sans" w:cs="Open Sans"/>
          <w:bCs/>
          <w:sz w:val="24"/>
          <w:szCs w:val="24"/>
          <w:lang w:eastAsia="en-US"/>
        </w:rPr>
        <w:t>fornece o transporte dos seus empregados</w:t>
      </w:r>
      <w:r w:rsidRPr="007204D6">
        <w:rPr>
          <w:rFonts w:ascii="Open Sans" w:eastAsiaTheme="minorHAnsi" w:hAnsi="Open Sans" w:cs="Open Sans"/>
          <w:sz w:val="24"/>
          <w:szCs w:val="24"/>
          <w:lang w:eastAsia="en-US"/>
        </w:rPr>
        <w:t xml:space="preserve">, ainda que o faça por meio da utilização de serviços contratados de terceiros. </w:t>
      </w:r>
      <w:r w:rsidRPr="007204D6">
        <w:rPr>
          <w:rFonts w:ascii="Open Sans" w:eastAsiaTheme="minorHAnsi" w:hAnsi="Open Sans" w:cs="Open Sans"/>
          <w:bCs/>
          <w:sz w:val="24"/>
          <w:szCs w:val="24"/>
          <w:lang w:eastAsia="en-US"/>
        </w:rPr>
        <w:t>Nesses casos, o empregador equipara-se ao transportador para fins de responsabilização pelos danos causados às pessoas transportadas, ou seja, os empregados</w:t>
      </w:r>
      <w:r w:rsidRPr="007204D6">
        <w:rPr>
          <w:rFonts w:ascii="Open Sans" w:eastAsiaTheme="minorHAnsi" w:hAnsi="Open Sans" w:cs="Open Sans"/>
          <w:sz w:val="24"/>
          <w:szCs w:val="24"/>
          <w:lang w:eastAsia="en-US"/>
        </w:rPr>
        <w:t>. No transporte aéreo, essa obrigação também se impõe, ainda que se trate de voo internacional, cuja regência se encontra a cargo da Convenção para a Unificação de Certas Regras Relativas ao Transporte Aéreo Internacional, conhecida como “Convenção de Montreal”, ratificada pelo Brasil e promulgada pelo Decreto nº 5.910, de 27/09/2006, que prevê, de modo expresso, a</w:t>
      </w:r>
      <w:r w:rsidRPr="007204D6">
        <w:rPr>
          <w:rFonts w:ascii="Open Sans" w:eastAsiaTheme="minorHAnsi" w:hAnsi="Open Sans" w:cs="Open Sans"/>
          <w:bCs/>
          <w:sz w:val="24"/>
          <w:szCs w:val="24"/>
          <w:lang w:eastAsia="en-US"/>
        </w:rPr>
        <w:t xml:space="preserve"> responsabilidade objetiva do transportador pelo risco da atividade</w:t>
      </w:r>
      <w:r w:rsidRPr="007204D6">
        <w:rPr>
          <w:rFonts w:ascii="Open Sans" w:eastAsiaTheme="minorHAnsi" w:hAnsi="Open Sans" w:cs="Open Sans"/>
          <w:sz w:val="24"/>
          <w:szCs w:val="24"/>
          <w:lang w:eastAsia="en-US"/>
        </w:rPr>
        <w:t xml:space="preserve"> </w:t>
      </w:r>
      <w:r w:rsidRPr="007204D6">
        <w:rPr>
          <w:rFonts w:ascii="Open Sans" w:eastAsiaTheme="minorHAnsi" w:hAnsi="Open Sans" w:cs="Open Sans"/>
          <w:bCs/>
          <w:sz w:val="24"/>
          <w:szCs w:val="24"/>
          <w:lang w:eastAsia="en-US"/>
        </w:rPr>
        <w:t xml:space="preserve">(artigo 17.1), condicionada ao fato de o acidente ocorrer a bordo da aeronave ou durante quaisquer das operações de embarque e desembarque. </w:t>
      </w:r>
      <w:r w:rsidRPr="007204D6">
        <w:rPr>
          <w:rFonts w:ascii="Open Sans" w:eastAsiaTheme="minorHAnsi" w:hAnsi="Open Sans" w:cs="Open Sans"/>
          <w:sz w:val="24"/>
          <w:szCs w:val="24"/>
          <w:lang w:eastAsia="en-US"/>
        </w:rPr>
        <w:t xml:space="preserve">Registre-se, também, que a circunstância de ser </w:t>
      </w:r>
      <w:r w:rsidRPr="007204D6">
        <w:rPr>
          <w:rFonts w:ascii="Open Sans" w:eastAsiaTheme="minorHAnsi" w:hAnsi="Open Sans" w:cs="Open Sans"/>
          <w:bCs/>
          <w:sz w:val="24"/>
          <w:szCs w:val="24"/>
          <w:lang w:eastAsia="en-US"/>
        </w:rPr>
        <w:t xml:space="preserve">habitual </w:t>
      </w:r>
      <w:r w:rsidRPr="007204D6">
        <w:rPr>
          <w:rFonts w:ascii="Open Sans" w:eastAsiaTheme="minorHAnsi" w:hAnsi="Open Sans" w:cs="Open Sans"/>
          <w:sz w:val="24"/>
          <w:szCs w:val="24"/>
          <w:lang w:eastAsia="en-US"/>
        </w:rPr>
        <w:t xml:space="preserve">ou </w:t>
      </w:r>
      <w:r w:rsidRPr="007204D6">
        <w:rPr>
          <w:rFonts w:ascii="Open Sans" w:eastAsiaTheme="minorHAnsi" w:hAnsi="Open Sans" w:cs="Open Sans"/>
          <w:bCs/>
          <w:sz w:val="24"/>
          <w:szCs w:val="24"/>
          <w:lang w:eastAsia="en-US"/>
        </w:rPr>
        <w:t xml:space="preserve">eventual </w:t>
      </w:r>
      <w:r w:rsidRPr="007204D6">
        <w:rPr>
          <w:rFonts w:ascii="Open Sans" w:eastAsiaTheme="minorHAnsi" w:hAnsi="Open Sans" w:cs="Open Sans"/>
          <w:sz w:val="24"/>
          <w:szCs w:val="24"/>
          <w:lang w:eastAsia="en-US"/>
        </w:rPr>
        <w:t xml:space="preserve">o transporte fornecido pelo empregador é irrelevante para caracterizar a responsabilidade. </w:t>
      </w:r>
      <w:proofErr w:type="gramStart"/>
      <w:r w:rsidRPr="007204D6">
        <w:rPr>
          <w:rFonts w:ascii="Open Sans" w:eastAsiaTheme="minorHAnsi" w:hAnsi="Open Sans" w:cs="Open Sans"/>
          <w:sz w:val="24"/>
          <w:szCs w:val="24"/>
          <w:lang w:eastAsia="en-US"/>
        </w:rPr>
        <w:t>Outrossim</w:t>
      </w:r>
      <w:proofErr w:type="gramEnd"/>
      <w:r w:rsidRPr="007204D6">
        <w:rPr>
          <w:rFonts w:ascii="Open Sans" w:eastAsiaTheme="minorHAnsi" w:hAnsi="Open Sans" w:cs="Open Sans"/>
          <w:sz w:val="24"/>
          <w:szCs w:val="24"/>
          <w:lang w:eastAsia="en-US"/>
        </w:rPr>
        <w:t xml:space="preserve">, cumpre observar que não se incluem nas hipóteses de excludentes os acontecimentos derivados do denominado </w:t>
      </w:r>
      <w:r w:rsidRPr="007204D6">
        <w:rPr>
          <w:rFonts w:ascii="Open Sans" w:eastAsiaTheme="minorHAnsi" w:hAnsi="Open Sans" w:cs="Open Sans"/>
          <w:i/>
          <w:iCs/>
          <w:sz w:val="24"/>
          <w:szCs w:val="24"/>
          <w:lang w:eastAsia="en-US"/>
        </w:rPr>
        <w:t>fortuito interno</w:t>
      </w:r>
      <w:r w:rsidRPr="007204D6">
        <w:rPr>
          <w:rFonts w:ascii="Open Sans" w:eastAsiaTheme="minorHAnsi" w:hAnsi="Open Sans" w:cs="Open Sans"/>
          <w:sz w:val="24"/>
          <w:szCs w:val="24"/>
          <w:lang w:eastAsia="en-US"/>
        </w:rPr>
        <w:t xml:space="preserve">, compreendido como o fato que, embora imprevisível e inevitável, se liga à organização empresarial e está relacionado aos riscos da atividade desenvolvida pelo transportador, do que é exemplo típico o acidente fatal que vitimou o </w:t>
      </w:r>
      <w:proofErr w:type="spellStart"/>
      <w:r w:rsidRPr="007204D6">
        <w:rPr>
          <w:rFonts w:ascii="Open Sans" w:eastAsiaTheme="minorHAnsi" w:hAnsi="Open Sans" w:cs="Open Sans"/>
          <w:sz w:val="24"/>
          <w:szCs w:val="24"/>
          <w:lang w:eastAsia="en-US"/>
        </w:rPr>
        <w:t>ex-empregado</w:t>
      </w:r>
      <w:proofErr w:type="spellEnd"/>
      <w:r w:rsidRPr="007204D6">
        <w:rPr>
          <w:rFonts w:ascii="Open Sans" w:eastAsiaTheme="minorHAnsi" w:hAnsi="Open Sans" w:cs="Open Sans"/>
          <w:sz w:val="24"/>
          <w:szCs w:val="24"/>
          <w:lang w:eastAsia="en-US"/>
        </w:rPr>
        <w:t xml:space="preserve">. Essa é a compreensão que se extrai da regra contida no artigo 734 do Código Civil, ao mencionar a força maior como causa excludente do dever de reparação decorrente. Aliás, nem mesmo o fato de terceiro a exclui, como ressaltado pelo Supremo Tribunal Federal, por meio da Súmula nº 187. Desse modo, </w:t>
      </w:r>
      <w:r w:rsidRPr="007204D6">
        <w:rPr>
          <w:rFonts w:ascii="Open Sans" w:eastAsiaTheme="minorHAnsi" w:hAnsi="Open Sans" w:cs="Open Sans"/>
          <w:bCs/>
          <w:sz w:val="24"/>
          <w:szCs w:val="24"/>
          <w:lang w:eastAsia="en-US"/>
        </w:rPr>
        <w:t xml:space="preserve">há responsabilidade objetiva da ré, com base na teoria do risco inerente ao contrato de transporte, atrelado à função desempenhada normalmente pelo </w:t>
      </w:r>
      <w:proofErr w:type="spellStart"/>
      <w:r w:rsidRPr="007204D6">
        <w:rPr>
          <w:rFonts w:ascii="Open Sans" w:eastAsiaTheme="minorHAnsi" w:hAnsi="Open Sans" w:cs="Open Sans"/>
          <w:bCs/>
          <w:sz w:val="24"/>
          <w:szCs w:val="24"/>
          <w:lang w:eastAsia="en-US"/>
        </w:rPr>
        <w:t>ex-empregado</w:t>
      </w:r>
      <w:proofErr w:type="spellEnd"/>
      <w:r w:rsidRPr="007204D6">
        <w:rPr>
          <w:rFonts w:ascii="Open Sans" w:eastAsiaTheme="minorHAnsi" w:hAnsi="Open Sans" w:cs="Open Sans"/>
          <w:sz w:val="24"/>
          <w:szCs w:val="24"/>
          <w:lang w:eastAsia="en-US"/>
        </w:rPr>
        <w:t xml:space="preserve">, tal como previsto nos artigos 734 e 735 do Código Civil e na jurisprudência desta Corte que, de forma categórica, afirma ser </w:t>
      </w:r>
      <w:r w:rsidRPr="007204D6">
        <w:rPr>
          <w:rFonts w:ascii="Open Sans" w:eastAsiaTheme="minorHAnsi" w:hAnsi="Open Sans" w:cs="Open Sans"/>
          <w:bCs/>
          <w:sz w:val="24"/>
          <w:szCs w:val="24"/>
          <w:lang w:eastAsia="en-US"/>
        </w:rPr>
        <w:t>objetiva a responsabilidade do empregador</w:t>
      </w:r>
      <w:r w:rsidRPr="007204D6">
        <w:rPr>
          <w:rFonts w:ascii="Open Sans" w:eastAsiaTheme="minorHAnsi" w:hAnsi="Open Sans" w:cs="Open Sans"/>
          <w:sz w:val="24"/>
          <w:szCs w:val="24"/>
          <w:lang w:eastAsia="en-US"/>
        </w:rPr>
        <w:t xml:space="preserve">, </w:t>
      </w:r>
      <w:r w:rsidRPr="007204D6">
        <w:rPr>
          <w:rFonts w:ascii="Open Sans" w:eastAsiaTheme="minorHAnsi" w:hAnsi="Open Sans" w:cs="Open Sans"/>
          <w:bCs/>
          <w:sz w:val="24"/>
          <w:szCs w:val="24"/>
          <w:lang w:eastAsia="en-US"/>
        </w:rPr>
        <w:t>nas hipóteses em que o acidente ocorrer durante o transporte do empregado em veículo fornecido pela empresa</w:t>
      </w:r>
      <w:r w:rsidRPr="007204D6">
        <w:rPr>
          <w:rFonts w:ascii="Open Sans" w:eastAsiaTheme="minorHAnsi" w:hAnsi="Open Sans" w:cs="Open Sans"/>
          <w:sz w:val="24"/>
          <w:szCs w:val="24"/>
          <w:lang w:eastAsia="en-US"/>
        </w:rPr>
        <w:t xml:space="preserve">. Julgados de todas as Turmas e da SBDI-1 do TST. Importante ressaltar, ainda, que também deve ser aplicada ao presente </w:t>
      </w:r>
      <w:proofErr w:type="gramStart"/>
      <w:r w:rsidRPr="007204D6">
        <w:rPr>
          <w:rFonts w:ascii="Open Sans" w:eastAsiaTheme="minorHAnsi" w:hAnsi="Open Sans" w:cs="Open Sans"/>
          <w:sz w:val="24"/>
          <w:szCs w:val="24"/>
          <w:lang w:eastAsia="en-US"/>
        </w:rPr>
        <w:t>caso</w:t>
      </w:r>
      <w:proofErr w:type="gramEnd"/>
      <w:r w:rsidRPr="007204D6">
        <w:rPr>
          <w:rFonts w:ascii="Open Sans" w:eastAsiaTheme="minorHAnsi" w:hAnsi="Open Sans" w:cs="Open Sans"/>
          <w:sz w:val="24"/>
          <w:szCs w:val="24"/>
          <w:lang w:eastAsia="en-US"/>
        </w:rPr>
        <w:t xml:space="preserve"> a </w:t>
      </w:r>
      <w:r w:rsidRPr="007204D6">
        <w:rPr>
          <w:rFonts w:ascii="Open Sans" w:eastAsiaTheme="minorHAnsi" w:hAnsi="Open Sans" w:cs="Open Sans"/>
          <w:bCs/>
          <w:sz w:val="24"/>
          <w:szCs w:val="24"/>
          <w:lang w:eastAsia="en-US"/>
        </w:rPr>
        <w:t>Teoria do Risco Criado</w:t>
      </w:r>
      <w:r w:rsidRPr="007204D6">
        <w:rPr>
          <w:rFonts w:ascii="Open Sans" w:eastAsiaTheme="minorHAnsi" w:hAnsi="Open Sans" w:cs="Open Sans"/>
          <w:sz w:val="24"/>
          <w:szCs w:val="24"/>
          <w:lang w:eastAsia="en-US"/>
        </w:rPr>
        <w:t xml:space="preserve"> em virtude da atividade desenvolvida, pois</w:t>
      </w:r>
      <w:r w:rsidRPr="007204D6">
        <w:rPr>
          <w:rFonts w:ascii="Open Sans" w:eastAsiaTheme="minorHAnsi" w:hAnsi="Open Sans" w:cs="Open Sans"/>
          <w:bCs/>
          <w:sz w:val="24"/>
          <w:szCs w:val="24"/>
          <w:lang w:eastAsia="en-US"/>
        </w:rPr>
        <w:t>, com a reiteração das viagens, há o risco específico para acidentes em transportes terrestres e/ou aéreos</w:t>
      </w:r>
      <w:r w:rsidRPr="007204D6">
        <w:rPr>
          <w:rFonts w:ascii="Open Sans" w:eastAsiaTheme="minorHAnsi" w:hAnsi="Open Sans" w:cs="Open Sans"/>
          <w:sz w:val="24"/>
          <w:szCs w:val="24"/>
          <w:lang w:eastAsia="en-US"/>
        </w:rPr>
        <w:t xml:space="preserve">, na forma do artigo 927, parágrafo único, do Código Civil. Desse modo, a solução da controvérsia encontra-se em perfeita conformidade com a </w:t>
      </w:r>
      <w:r w:rsidRPr="007204D6">
        <w:rPr>
          <w:rFonts w:ascii="Open Sans" w:eastAsiaTheme="minorHAnsi" w:hAnsi="Open Sans" w:cs="Open Sans"/>
          <w:bCs/>
          <w:sz w:val="24"/>
          <w:szCs w:val="24"/>
          <w:lang w:eastAsia="en-US"/>
        </w:rPr>
        <w:t xml:space="preserve">Tese nº 932 estabelecida em Repercussão Geral pelo Supremo Tribunal Federal, </w:t>
      </w:r>
      <w:r w:rsidRPr="007204D6">
        <w:rPr>
          <w:rFonts w:ascii="Open Sans" w:eastAsiaTheme="minorHAnsi" w:hAnsi="Open Sans" w:cs="Open Sans"/>
          <w:sz w:val="24"/>
          <w:szCs w:val="24"/>
          <w:lang w:eastAsia="en-US"/>
        </w:rPr>
        <w:t xml:space="preserve">pois a atividade normalmente desenvolvida, por sua natureza, apresentava exposição habitual a risco especial, com potencialidade lesiva, e acarretou ao trabalhador ônus maior do que aos demais membros da coletividade. Se, em virtude desse risco específico (inerente ao transporte), o acidente é causado, a responsabilidade objetiva se impõe. </w:t>
      </w:r>
      <w:proofErr w:type="gramStart"/>
      <w:r w:rsidRPr="007204D6">
        <w:rPr>
          <w:rFonts w:ascii="Open Sans" w:eastAsiaTheme="minorHAnsi" w:hAnsi="Open Sans" w:cs="Open Sans"/>
          <w:sz w:val="24"/>
          <w:szCs w:val="24"/>
          <w:lang w:eastAsia="en-US"/>
        </w:rPr>
        <w:t>Recurso de revista não conhecido.”</w:t>
      </w:r>
      <w:proofErr w:type="gramEnd"/>
      <w:r w:rsidRPr="007204D6">
        <w:rPr>
          <w:rFonts w:ascii="Open Sans" w:eastAsiaTheme="minorHAnsi" w:hAnsi="Open Sans" w:cs="Open Sans"/>
          <w:sz w:val="24"/>
          <w:szCs w:val="24"/>
          <w:lang w:eastAsia="en-US"/>
        </w:rPr>
        <w:t xml:space="preserve"> (</w:t>
      </w:r>
      <w:hyperlink r:id="rId24" w:history="1">
        <w:r w:rsidRPr="007204D6">
          <w:rPr>
            <w:rFonts w:ascii="Open Sans" w:eastAsiaTheme="minorHAnsi" w:hAnsi="Open Sans" w:cs="Open Sans"/>
            <w:color w:val="0000FF" w:themeColor="hyperlink"/>
            <w:sz w:val="24"/>
            <w:szCs w:val="24"/>
            <w:u w:val="single"/>
            <w:lang w:eastAsia="en-US"/>
          </w:rPr>
          <w:t>TST-RRAg-101069-52.2017.5.01.0511</w:t>
        </w:r>
      </w:hyperlink>
      <w:r w:rsidRPr="007204D6">
        <w:rPr>
          <w:rFonts w:ascii="Open Sans" w:eastAsiaTheme="minorHAnsi" w:hAnsi="Open Sans" w:cs="Open Sans"/>
          <w:sz w:val="24"/>
          <w:szCs w:val="24"/>
          <w:lang w:eastAsia="en-US"/>
        </w:rPr>
        <w:t xml:space="preserve">, 7ª Turma, rel. Min. </w:t>
      </w:r>
      <w:r w:rsidRPr="007204D6">
        <w:rPr>
          <w:rFonts w:ascii="Open Sans" w:hAnsi="Open Sans" w:cs="Open Sans"/>
          <w:bCs/>
          <w:sz w:val="24"/>
          <w:szCs w:val="24"/>
        </w:rPr>
        <w:t>Cláudio Mascarenhas Brandão</w:t>
      </w:r>
      <w:r>
        <w:rPr>
          <w:rFonts w:ascii="Open Sans" w:eastAsiaTheme="minorHAnsi" w:hAnsi="Open Sans" w:cs="Open Sans"/>
          <w:sz w:val="24"/>
          <w:szCs w:val="24"/>
          <w:lang w:eastAsia="en-US"/>
        </w:rPr>
        <w:t>, julgado em 9/11/2022)</w:t>
      </w:r>
    </w:p>
    <w:p w:rsidR="001A7589" w:rsidRPr="003509A3" w:rsidRDefault="001A7589" w:rsidP="001A7589">
      <w:pPr>
        <w:pStyle w:val="Cabealho"/>
        <w:tabs>
          <w:tab w:val="clear" w:pos="4419"/>
          <w:tab w:val="clear" w:pos="8838"/>
        </w:tabs>
        <w:ind w:left="-142" w:right="368" w:firstLine="142"/>
        <w:jc w:val="center"/>
        <w:rPr>
          <w:rFonts w:ascii="Open Sans" w:hAnsi="Open Sans" w:cs="Open Sans"/>
          <w:i/>
        </w:rPr>
      </w:pPr>
    </w:p>
    <w:p w:rsidR="001A7589" w:rsidRPr="003509A3" w:rsidRDefault="001A7589" w:rsidP="00ED73E7">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outlineLvl w:val="0"/>
        <w:rPr>
          <w:rFonts w:ascii="Open Sans" w:hAnsi="Open Sans" w:cs="Open Sans"/>
          <w:b w:val="0"/>
          <w:bCs w:val="0"/>
          <w:snapToGrid w:val="0"/>
          <w:sz w:val="24"/>
          <w:szCs w:val="24"/>
        </w:rPr>
      </w:pPr>
      <w:r w:rsidRPr="003509A3">
        <w:rPr>
          <w:rFonts w:ascii="Open Sans" w:hAnsi="Open Sans" w:cs="Open Sans"/>
          <w:b w:val="0"/>
          <w:bCs w:val="0"/>
          <w:snapToGrid w:val="0"/>
          <w:sz w:val="24"/>
          <w:szCs w:val="24"/>
        </w:rPr>
        <w:lastRenderedPageBreak/>
        <w:t xml:space="preserve">O Informativo TST é mantido pela </w:t>
      </w:r>
    </w:p>
    <w:p w:rsidR="001A7589" w:rsidRPr="003509A3" w:rsidRDefault="001A7589" w:rsidP="00ED73E7">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rPr>
          <w:rFonts w:ascii="Open Sans" w:hAnsi="Open Sans" w:cs="Open Sans"/>
          <w:b w:val="0"/>
          <w:bCs w:val="0"/>
          <w:snapToGrid w:val="0"/>
          <w:sz w:val="24"/>
          <w:szCs w:val="24"/>
        </w:rPr>
      </w:pPr>
      <w:r w:rsidRPr="003509A3">
        <w:rPr>
          <w:rFonts w:ascii="Open Sans" w:hAnsi="Open Sans" w:cs="Open Sans"/>
          <w:b w:val="0"/>
          <w:bCs w:val="0"/>
          <w:snapToGrid w:val="0"/>
          <w:sz w:val="24"/>
          <w:szCs w:val="24"/>
        </w:rPr>
        <w:t>Coordenadoria de Jurisprudência – CJUR.</w:t>
      </w:r>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Informações/Sugestões/Críticas: (61)3043-4612 ou </w:t>
      </w:r>
      <w:hyperlink r:id="rId25" w:history="1">
        <w:r w:rsidRPr="003509A3">
          <w:rPr>
            <w:rStyle w:val="Hyperlink"/>
            <w:rFonts w:ascii="Open Sans" w:hAnsi="Open Sans" w:cs="Open Sans"/>
            <w:snapToGrid w:val="0"/>
            <w:sz w:val="24"/>
            <w:szCs w:val="24"/>
          </w:rPr>
          <w:t>cjur@tst.jus.br</w:t>
        </w:r>
      </w:hyperlink>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acessar todas as edições: </w:t>
      </w:r>
      <w:hyperlink r:id="rId26" w:history="1">
        <w:r w:rsidRPr="003509A3">
          <w:rPr>
            <w:rStyle w:val="Hyperlink"/>
            <w:rFonts w:ascii="Open Sans" w:hAnsi="Open Sans" w:cs="Open Sans"/>
            <w:snapToGrid w:val="0"/>
            <w:sz w:val="24"/>
            <w:szCs w:val="24"/>
          </w:rPr>
          <w:t>http://www.tst.jus.br/web/guest/informativo-tst</w:t>
        </w:r>
      </w:hyperlink>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8C74B3" w:rsidRDefault="001A7589" w:rsidP="008C74B3">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receber via </w:t>
      </w:r>
      <w:r w:rsidRPr="003509A3">
        <w:rPr>
          <w:rFonts w:ascii="Open Sans" w:hAnsi="Open Sans" w:cs="Open Sans"/>
          <w:i/>
          <w:snapToGrid w:val="0"/>
          <w:sz w:val="24"/>
          <w:szCs w:val="24"/>
        </w:rPr>
        <w:t>e-mail</w:t>
      </w:r>
      <w:r w:rsidRPr="003509A3">
        <w:rPr>
          <w:rFonts w:ascii="Open Sans" w:hAnsi="Open Sans" w:cs="Open Sans"/>
          <w:snapToGrid w:val="0"/>
          <w:sz w:val="24"/>
          <w:szCs w:val="24"/>
        </w:rPr>
        <w:t xml:space="preserve">: </w:t>
      </w:r>
      <w:hyperlink r:id="rId27" w:history="1">
        <w:r w:rsidRPr="003509A3">
          <w:rPr>
            <w:rStyle w:val="Hyperlink"/>
            <w:rFonts w:ascii="Open Sans" w:hAnsi="Open Sans" w:cs="Open Sans"/>
            <w:snapToGrid w:val="0"/>
            <w:sz w:val="24"/>
            <w:szCs w:val="24"/>
          </w:rPr>
          <w:t>http://www.tst.jus.br/push</w:t>
        </w:r>
      </w:hyperlink>
    </w:p>
    <w:p w:rsidR="00ED73E7" w:rsidRDefault="00ED73E7" w:rsidP="00ED73E7">
      <w:pPr>
        <w:tabs>
          <w:tab w:val="left" w:pos="8955"/>
        </w:tabs>
      </w:pPr>
    </w:p>
    <w:p w:rsidR="00ED73E7" w:rsidRDefault="00ED73E7" w:rsidP="00ED73E7">
      <w:pPr>
        <w:tabs>
          <w:tab w:val="left" w:pos="8955"/>
        </w:tabs>
      </w:pPr>
    </w:p>
    <w:p w:rsidR="00ED73E7" w:rsidRDefault="00ED73E7" w:rsidP="00ED73E7">
      <w:pPr>
        <w:tabs>
          <w:tab w:val="left" w:pos="8955"/>
        </w:tabs>
      </w:pPr>
    </w:p>
    <w:p w:rsidR="00ED73E7" w:rsidRPr="00ED73E7" w:rsidRDefault="00ED73E7" w:rsidP="008C74B3">
      <w:pPr>
        <w:tabs>
          <w:tab w:val="left" w:pos="8955"/>
        </w:tabs>
        <w:jc w:val="right"/>
      </w:pPr>
    </w:p>
    <w:sectPr w:rsidR="00ED73E7" w:rsidRPr="00ED73E7" w:rsidSect="001A7589">
      <w:headerReference w:type="even" r:id="rId28"/>
      <w:headerReference w:type="default" r:id="rId29"/>
      <w:footerReference w:type="even" r:id="rId30"/>
      <w:footerReference w:type="default" r:id="rId31"/>
      <w:headerReference w:type="first" r:id="rId32"/>
      <w:footerReference w:type="first" r:id="rId33"/>
      <w:pgSz w:w="11906" w:h="16838"/>
      <w:pgMar w:top="1701" w:right="567"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89" w:rsidRDefault="001A7589" w:rsidP="001A7589">
      <w:r>
        <w:separator/>
      </w:r>
    </w:p>
  </w:endnote>
  <w:endnote w:type="continuationSeparator" w:id="0">
    <w:p w:rsidR="001A7589" w:rsidRDefault="001A7589"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ahoma"/>
    <w:panose1 w:val="020B0606030504020204"/>
    <w:charset w:val="00"/>
    <w:family w:val="swiss"/>
    <w:pitch w:val="variable"/>
    <w:sig w:usb0="E00002EF" w:usb1="4000205B" w:usb2="00000028" w:usb3="00000000" w:csb0="0000019F" w:csb1="00000000"/>
  </w:font>
  <w:font w:name="Calibri">
    <w:altName w:val="Trebuchet MS"/>
    <w:panose1 w:val="020F0502020204030204"/>
    <w:charset w:val="00"/>
    <w:family w:val="swiss"/>
    <w:pitch w:val="variable"/>
    <w:sig w:usb0="E4002EFF" w:usb1="C000247B" w:usb2="00000009" w:usb3="00000000" w:csb0="000001FF" w:csb1="00000000"/>
  </w:font>
  <w:font w:name="Times New Roman">
    <w:altName w:val="Univers"/>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Bebas Neue Regular">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3A" w:rsidRDefault="0089163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57856"/>
      <w:docPartObj>
        <w:docPartGallery w:val="Page Numbers (Bottom of Page)"/>
        <w:docPartUnique/>
      </w:docPartObj>
    </w:sdtPr>
    <w:sdtEndPr/>
    <w:sdtContent>
      <w:sdt>
        <w:sdtPr>
          <w:id w:val="-292905539"/>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132C3E">
              <w:rPr>
                <w:noProof/>
              </w:rPr>
              <w:t>14</w:t>
            </w:r>
            <w:r>
              <w:fldChar w:fldCharType="end"/>
            </w:r>
          </w:p>
        </w:sdtContent>
      </w:sdt>
      <w:p w:rsidR="00ED73E7" w:rsidRDefault="00132C3E" w:rsidP="00ED73E7">
        <w:pPr>
          <w:pStyle w:val="Rodap"/>
          <w:jc w:val="right"/>
        </w:pPr>
      </w:p>
    </w:sdtContent>
  </w:sdt>
  <w:p w:rsidR="001A7589" w:rsidRDefault="001A7589" w:rsidP="00ED73E7">
    <w:pPr>
      <w:pStyle w:val="Rodap"/>
      <w:ind w:left="-284" w:right="3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21691"/>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132C3E">
          <w:rPr>
            <w:noProof/>
          </w:rPr>
          <w:t>1</w:t>
        </w:r>
        <w:r>
          <w:fldChar w:fldCharType="end"/>
        </w:r>
      </w:p>
    </w:sdtContent>
  </w:sdt>
  <w:p w:rsidR="001A7589" w:rsidRDefault="001A75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89" w:rsidRDefault="001A7589" w:rsidP="001A7589">
      <w:r>
        <w:separator/>
      </w:r>
    </w:p>
  </w:footnote>
  <w:footnote w:type="continuationSeparator" w:id="0">
    <w:p w:rsidR="001A7589" w:rsidRDefault="001A7589"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3A" w:rsidRDefault="0089163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ED73E7" w:rsidP="00ED73E7">
    <w:pPr>
      <w:pStyle w:val="Corpodetexto"/>
      <w:ind w:right="510"/>
      <w:jc w:val="right"/>
      <w:rPr>
        <w:rFonts w:ascii="Open Sans" w:hAnsi="Open Sans" w:cs="Open Sans"/>
        <w:color w:val="006699"/>
        <w:sz w:val="28"/>
        <w:szCs w:val="28"/>
      </w:rPr>
    </w:pPr>
    <w:r w:rsidRPr="00AF45B3">
      <w:rPr>
        <w:rFonts w:ascii="Open Sans" w:hAnsi="Open Sans" w:cs="Open Sans"/>
        <w:color w:val="006699"/>
        <w:sz w:val="28"/>
        <w:szCs w:val="28"/>
      </w:rPr>
      <w:t xml:space="preserve">Informativo TST – nº </w:t>
    </w:r>
    <w:r w:rsidR="0089163A">
      <w:rPr>
        <w:rFonts w:ascii="Open Sans" w:hAnsi="Open Sans" w:cs="Open Sans"/>
        <w:color w:val="006699"/>
        <w:sz w:val="28"/>
        <w:szCs w:val="28"/>
      </w:rPr>
      <w:t>264</w:t>
    </w:r>
  </w:p>
  <w:p w:rsidR="00ED73E7" w:rsidRDefault="00ED73E7" w:rsidP="00ED73E7">
    <w:pPr>
      <w:pStyle w:val="Cabealho"/>
      <w:pBdr>
        <w:bottom w:val="single" w:sz="4" w:space="1" w:color="auto"/>
      </w:pBdr>
      <w:ind w:left="-284" w:right="367"/>
      <w:jc w:val="right"/>
    </w:pPr>
    <w:r w:rsidRPr="00AF45B3">
      <w:rPr>
        <w:rFonts w:ascii="Open Sans" w:hAnsi="Open Sans" w:cs="Open Sans"/>
        <w:i/>
        <w:iCs/>
        <w:color w:val="005DA2"/>
        <w:sz w:val="22"/>
        <w:szCs w:val="22"/>
      </w:rPr>
      <w:t xml:space="preserve">Período: </w:t>
    </w:r>
    <w:r w:rsidR="0089163A">
      <w:rPr>
        <w:rFonts w:ascii="Open Sans" w:hAnsi="Open Sans" w:cs="Open Sans"/>
        <w:i/>
        <w:iCs/>
        <w:color w:val="005DA2"/>
        <w:sz w:val="22"/>
        <w:szCs w:val="22"/>
      </w:rPr>
      <w:t>24 de outubro a 11 de novembro de 2022.</w:t>
    </w:r>
  </w:p>
  <w:p w:rsidR="00ED73E7" w:rsidRPr="00ED73E7" w:rsidRDefault="00ED73E7" w:rsidP="00ED73E7">
    <w:pPr>
      <w:pStyle w:val="Corpodetexto"/>
      <w:ind w:right="51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1A7589" w:rsidP="001A7589">
    <w:pPr>
      <w:pStyle w:val="Cabealho"/>
    </w:pPr>
    <w:r>
      <w:rPr>
        <w:noProof/>
      </w:rPr>
      <mc:AlternateContent>
        <mc:Choice Requires="wps">
          <w:drawing>
            <wp:anchor distT="0" distB="0" distL="114300" distR="114300" simplePos="0" relativeHeight="251661312" behindDoc="0" locked="0" layoutInCell="0" allowOverlap="1" wp14:anchorId="36806CDA" wp14:editId="77DCB0C6">
              <wp:simplePos x="0" y="0"/>
              <wp:positionH relativeFrom="column">
                <wp:posOffset>860764</wp:posOffset>
              </wp:positionH>
              <wp:positionV relativeFrom="paragraph">
                <wp:posOffset>81280</wp:posOffset>
              </wp:positionV>
              <wp:extent cx="2422800" cy="75600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800" cy="756000"/>
                      </a:xfrm>
                      <a:prstGeom prst="rect">
                        <a:avLst/>
                      </a:prstGeom>
                      <a:solidFill>
                        <a:srgbClr val="FFFFFF"/>
                      </a:solidFill>
                      <a:ln w="9525">
                        <a:noFill/>
                        <a:miter lim="800000"/>
                        <a:headEnd/>
                        <a:tailEnd/>
                      </a:ln>
                    </wps:spPr>
                    <wps:txbx>
                      <w:txbxContent>
                        <w:p w:rsidR="001A7589" w:rsidRPr="00D50FBE" w:rsidRDefault="001A7589"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7.8pt;margin-top:6.4pt;width:190.7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" o:allowincell="f" stroked="f">
              <v:textbox>
                <w:txbxContent>
                  <w:p w:rsidR="001A7589" w:rsidRPr="00D50FBE" w:rsidRDefault="001A7589"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v:textbox>
            </v:shape>
          </w:pict>
        </mc:Fallback>
      </mc:AlternateContent>
    </w:r>
    <w:r>
      <w:rPr>
        <w:noProof/>
      </w:rPr>
      <w:drawing>
        <wp:inline distT="0" distB="0" distL="0" distR="0" wp14:anchorId="68768401" wp14:editId="25B2FFBE">
          <wp:extent cx="867595" cy="893135"/>
          <wp:effectExtent l="0" t="0" r="8890" b="254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13" cy="893257"/>
                  </a:xfrm>
                  <a:prstGeom prst="rect">
                    <a:avLst/>
                  </a:prstGeom>
                  <a:noFill/>
                  <a:ln>
                    <a:noFill/>
                  </a:ln>
                </pic:spPr>
              </pic:pic>
            </a:graphicData>
          </a:graphic>
        </wp:inline>
      </w:drawing>
    </w:r>
  </w:p>
  <w:p w:rsidR="001A7589" w:rsidRDefault="001A7589" w:rsidP="001A7589">
    <w:pPr>
      <w:pStyle w:val="Cabealho"/>
    </w:pPr>
  </w:p>
  <w:p w:rsidR="001A7589" w:rsidRDefault="001A7589" w:rsidP="001A7589">
    <w:pPr>
      <w:pStyle w:val="Cabealho"/>
    </w:pPr>
    <w:r>
      <w:rPr>
        <w:rFonts w:ascii="Bebas Neue Regular" w:hAnsi="Bebas Neue Regular"/>
        <w:noProof/>
        <w:color w:val="006699"/>
        <w:sz w:val="30"/>
      </w:rPr>
      <w:drawing>
        <wp:inline distT="0" distB="0" distL="0" distR="0" wp14:anchorId="5F09ECA5" wp14:editId="1AC860DE">
          <wp:extent cx="6124575" cy="8953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1A7589" w:rsidRDefault="001A7589" w:rsidP="001A7589">
    <w:pPr>
      <w:pStyle w:val="Cabealho"/>
    </w:pPr>
  </w:p>
  <w:p w:rsidR="001A7589" w:rsidRPr="00CE124A" w:rsidRDefault="001A7589" w:rsidP="001A7589">
    <w:pPr>
      <w:pStyle w:val="Cabealho"/>
      <w:tabs>
        <w:tab w:val="clear" w:pos="4419"/>
        <w:tab w:val="clear" w:pos="8838"/>
        <w:tab w:val="left" w:pos="2793"/>
      </w:tabs>
      <w:ind w:right="510"/>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sidR="0089163A">
      <w:rPr>
        <w:rFonts w:ascii="Open Sans" w:hAnsi="Open Sans" w:cs="Open Sans"/>
        <w:b/>
        <w:color w:val="005DA2"/>
        <w:sz w:val="32"/>
        <w:szCs w:val="32"/>
      </w:rPr>
      <w:t>264</w:t>
    </w:r>
  </w:p>
  <w:p w:rsidR="001A7589" w:rsidRDefault="001A7589" w:rsidP="001A7589">
    <w:pPr>
      <w:pStyle w:val="Cabealho"/>
      <w:ind w:right="510"/>
      <w:jc w:val="right"/>
    </w:pPr>
    <w:r w:rsidRPr="00AF45B3">
      <w:rPr>
        <w:rFonts w:ascii="Open Sans" w:hAnsi="Open Sans" w:cs="Open Sans"/>
        <w:i/>
        <w:iCs/>
        <w:color w:val="005DA2"/>
        <w:sz w:val="22"/>
        <w:szCs w:val="22"/>
      </w:rPr>
      <w:t xml:space="preserve">Período: </w:t>
    </w:r>
    <w:r w:rsidR="0089163A">
      <w:rPr>
        <w:rFonts w:ascii="Open Sans" w:hAnsi="Open Sans" w:cs="Open Sans"/>
        <w:i/>
        <w:iCs/>
        <w:color w:val="005DA2"/>
        <w:sz w:val="22"/>
        <w:szCs w:val="22"/>
      </w:rPr>
      <w:t>24</w:t>
    </w:r>
    <w:r w:rsidR="00601786">
      <w:rPr>
        <w:rFonts w:ascii="Open Sans" w:hAnsi="Open Sans" w:cs="Open Sans"/>
        <w:i/>
        <w:iCs/>
        <w:color w:val="005DA2"/>
        <w:sz w:val="22"/>
        <w:szCs w:val="22"/>
      </w:rPr>
      <w:t xml:space="preserve"> de outubro</w:t>
    </w:r>
    <w:r w:rsidR="0089163A">
      <w:rPr>
        <w:rFonts w:ascii="Open Sans" w:hAnsi="Open Sans" w:cs="Open Sans"/>
        <w:i/>
        <w:iCs/>
        <w:color w:val="005DA2"/>
        <w:sz w:val="22"/>
        <w:szCs w:val="22"/>
      </w:rPr>
      <w:t xml:space="preserve"> a 11 de novembro</w:t>
    </w:r>
    <w:r>
      <w:rPr>
        <w:rFonts w:ascii="Open Sans" w:hAnsi="Open Sans" w:cs="Open Sans"/>
        <w:i/>
        <w:iCs/>
        <w:color w:val="005DA2"/>
        <w:sz w:val="22"/>
        <w:szCs w:val="22"/>
      </w:rPr>
      <w:t xml:space="preserve"> de 2022</w:t>
    </w:r>
    <w:r w:rsidR="00ED73E7">
      <w:rPr>
        <w:rFonts w:ascii="Open Sans" w:hAnsi="Open Sans" w:cs="Open Sans"/>
        <w:i/>
        <w:iCs/>
        <w:color w:val="005DA2"/>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0430AD"/>
    <w:rsid w:val="00132C3E"/>
    <w:rsid w:val="001A7589"/>
    <w:rsid w:val="00501FEA"/>
    <w:rsid w:val="00577BB7"/>
    <w:rsid w:val="00585786"/>
    <w:rsid w:val="00601786"/>
    <w:rsid w:val="007204D6"/>
    <w:rsid w:val="007C30BE"/>
    <w:rsid w:val="0085483A"/>
    <w:rsid w:val="0089163A"/>
    <w:rsid w:val="008C74B3"/>
    <w:rsid w:val="00A91F83"/>
    <w:rsid w:val="00E9323C"/>
    <w:rsid w:val="00ED5B9D"/>
    <w:rsid w:val="00ED73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processual.tst.jus.br/consultaProcessual/consultaTstNumUnica.do?consulta=Consultar&amp;conscsjt=&amp;numeroTst=11595&amp;digitoTst=12&amp;anoTst=2014&amp;orgaoTst=5&amp;tribunalTst=15&amp;varaTst=0018&amp;submit=Consultar" TargetMode="External"/><Relationship Id="rId13" Type="http://schemas.openxmlformats.org/officeDocument/2006/relationships/hyperlink" Target="https://consultaprocessual.tst.jus.br/consultaProcessual/consultaTstNumUnica.do?consulta=Consultar&amp;conscsjt=&amp;numeroTst=1001299&amp;digitoTst=83&amp;anoTst=2016&amp;orgaoTst=5&amp;tribunalTst=02&amp;varaTst=0444&amp;submit=Consultar" TargetMode="External"/><Relationship Id="rId18" Type="http://schemas.openxmlformats.org/officeDocument/2006/relationships/hyperlink" Target="https://consultaprocessual.tst.jus.br/consultaProcessual/consultaTstNumUnica.do?consulta=Consultar&amp;conscsjt=&amp;numeroTst=10760&amp;digitoTst=10&amp;anoTst=2016&amp;orgaoTst=5&amp;tribunalTst=03&amp;varaTst=108" TargetMode="External"/><Relationship Id="rId26" Type="http://schemas.openxmlformats.org/officeDocument/2006/relationships/hyperlink" Target="http://www.tst.jus.br/web/guest/informativo-tst" TargetMode="External"/><Relationship Id="rId3" Type="http://schemas.microsoft.com/office/2007/relationships/stylesWithEffects" Target="stylesWithEffects.xml"/><Relationship Id="rId21" Type="http://schemas.openxmlformats.org/officeDocument/2006/relationships/hyperlink" Target="https://consultaprocessual.tst.jus.br/consultaProcessual/consultaTstNumUnica.do?consulta=Consultar&amp;conscsjt=&amp;numeroTst=10191&amp;digitoTst=64&amp;anoTst=2021&amp;orgaoTst=5&amp;tribunalTst=03&amp;varaTst=3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nsultaprocessual.tst.jus.br/consultaProcessual/resumoForm.do?consulta=1&amp;numeroInt=143864&amp;anoInt=2021" TargetMode="External"/><Relationship Id="rId17" Type="http://schemas.openxmlformats.org/officeDocument/2006/relationships/hyperlink" Target="https://consultaprocessual.tst.jus.br/consultaProcessual/consultaTstNumUnica.do?consulta=Consultar&amp;conscsjt=&amp;numeroTst=1337&amp;digitoTst=87&amp;anoTst=2019&amp;orgaoTst=5&amp;tribunalTst=12&amp;varaTst=5" TargetMode="External"/><Relationship Id="rId25" Type="http://schemas.openxmlformats.org/officeDocument/2006/relationships/hyperlink" Target="mailto:cjur@tst.jus.br"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consultaprocessual.tst.jus.br/consultaProcessual/consultaTstNumUnica.do?consulta=Consultar&amp;conscsjt=&amp;numeroTst=1001382&amp;digitoTst=68&amp;anoTst=2020&amp;orgaoTst=5&amp;tribunalTst=02&amp;varaTst=0021&amp;submit=Consultar" TargetMode="External"/><Relationship Id="rId20" Type="http://schemas.openxmlformats.org/officeDocument/2006/relationships/hyperlink" Target="https://consultaprocessual.tst.jus.br/consultaProcessual/consultaTstNumUnica.do?consulta=Consultar&amp;conscsjt=&amp;numeroTst=1001844&amp;digitoTst=16&amp;anoTst=2017&amp;orgaoTst=5&amp;tribunalTst=02&amp;varaTst=0446&amp;submit=Consulta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consultaTstNumUnica.do?consulta=Consultar&amp;conscsjt=&amp;numeroTst=755&amp;digitoTst=34&amp;anoTst=2018&amp;orgaoTst=5&amp;tribunalTst=05&amp;varaTst=0000&amp;submit=Consultar" TargetMode="External"/><Relationship Id="rId24" Type="http://schemas.openxmlformats.org/officeDocument/2006/relationships/hyperlink" Target="https://consultaprocessual.tst.jus.br/consultaProcessual/consultaTstNumUnica.do?consulta=Consultar&amp;conscsjt=&amp;numeroTst=101069&amp;digitoTst=52&amp;anoTst=2017&amp;orgaoTst=5&amp;tribunalTst=01&amp;varaTst=0511&amp;submit=Consultar"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onsultaprocessual.tst.jus.br/consultaProcessual/resumoForm.do?consulta=1&amp;numeroInt=478632&amp;anoInt=2008" TargetMode="External"/><Relationship Id="rId23" Type="http://schemas.openxmlformats.org/officeDocument/2006/relationships/hyperlink" Target="https://consultaprocessual.tst.jus.br/consultaProcessual/consultaTstNumUnica.do?consulta=Consultar&amp;conscsjt=&amp;numeroTst=1594&amp;digitoTst=40&amp;anoTst=2017&amp;orgaoTst=5&amp;tribunalTst=10&amp;varaTst=0005&amp;submit=Consultar" TargetMode="External"/><Relationship Id="rId28" Type="http://schemas.openxmlformats.org/officeDocument/2006/relationships/header" Target="header1.xml"/><Relationship Id="rId10" Type="http://schemas.openxmlformats.org/officeDocument/2006/relationships/hyperlink" Target="https://consultaprocessual.tst.jus.br/consultaProcessual/resumoForm.do?consulta=1&amp;numeroInt=29577&amp;anoInt=2022" TargetMode="External"/><Relationship Id="rId19" Type="http://schemas.openxmlformats.org/officeDocument/2006/relationships/hyperlink" Target="https://consultaprocessual.tst.jus.br/consultaProcessual/consultaTstNumUnica.do?consulta=Consultar&amp;conscsjt=&amp;numeroTst=744&amp;digitoTst=27&amp;anoTst=2017&amp;orgaoTst=5&amp;tribunalTst=23&amp;varaTst=0036&amp;submit=Consulta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onsultaprocessual.tst.jus.br/consultaProcessual/consultaTstNumUnica.do?consulta=Consultar&amp;conscsjt=&amp;numeroTst=546&amp;digitoTst=08&amp;anoTst=2015&amp;orgaoTst=5&amp;tribunalTst=10&amp;varaTst=0008&amp;submit=Consultar" TargetMode="External"/><Relationship Id="rId14" Type="http://schemas.openxmlformats.org/officeDocument/2006/relationships/hyperlink" Target="https://consultaprocessual.tst.jus.br/consultaProcessual/consultaTstNumUnica.do?consulta=Consultar&amp;conscsjt=&amp;numeroTst=20820&amp;digitoTst=61&amp;anoTst=2019&amp;orgaoTst=5&amp;tribunalTst=04&amp;varaTst=0382&amp;submit=Consultar" TargetMode="External"/><Relationship Id="rId22" Type="http://schemas.openxmlformats.org/officeDocument/2006/relationships/hyperlink" Target="https://consultaprocessual.tst.jus.br/consultaProcessual/consultaTstNumUnica.do?consulta=Consultar&amp;conscsjt=&amp;numeroTst=20023&amp;digitoTst=61&amp;anoTst=2020&amp;orgaoTst=5&amp;tribunalTst=04&amp;varaTst=702" TargetMode="External"/><Relationship Id="rId27" Type="http://schemas.openxmlformats.org/officeDocument/2006/relationships/hyperlink" Target="http://www.tst.jus.br/push" TargetMode="External"/><Relationship Id="rId30" Type="http://schemas.openxmlformats.org/officeDocument/2006/relationships/footer" Target="footer1.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D30F0-5BAF-415D-8427-81BCCDD4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8129</Words>
  <Characters>45771</Characters>
  <Application>Microsoft Office Word</Application>
  <DocSecurity>0</DocSecurity>
  <Lines>1116</Lines>
  <Paragraphs>338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 Vieira Batista</cp:lastModifiedBy>
  <cp:revision>14</cp:revision>
  <dcterms:created xsi:type="dcterms:W3CDTF">2022-05-02T22:13:00Z</dcterms:created>
  <dcterms:modified xsi:type="dcterms:W3CDTF">2022-11-17T19:11:00Z</dcterms:modified>
</cp:coreProperties>
</file>