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654F3371" w14:textId="77777777" w:rsidTr="00E3622E">
        <w:trPr>
          <w:trHeight w:val="537"/>
        </w:trPr>
        <w:tc>
          <w:tcPr>
            <w:tcW w:w="9538" w:type="dxa"/>
            <w:tcBorders>
              <w:top w:val="single" w:sz="4" w:space="0" w:color="auto"/>
            </w:tcBorders>
          </w:tcPr>
          <w:p w14:paraId="654F336F"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654F3370" w14:textId="77777777" w:rsidR="00730CC7" w:rsidRPr="004B3120" w:rsidRDefault="00730CC7" w:rsidP="00DC50EB">
            <w:pPr>
              <w:pStyle w:val="Cabealho"/>
              <w:tabs>
                <w:tab w:val="clear" w:pos="4419"/>
                <w:tab w:val="clear" w:pos="8838"/>
              </w:tabs>
              <w:jc w:val="both"/>
              <w:rPr>
                <w:sz w:val="10"/>
                <w:szCs w:val="10"/>
              </w:rPr>
            </w:pPr>
          </w:p>
        </w:tc>
      </w:tr>
    </w:tbl>
    <w:p w14:paraId="654F3372" w14:textId="77777777" w:rsidR="00472851" w:rsidRPr="006717E0" w:rsidRDefault="00472851" w:rsidP="0047285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654F3373" w14:textId="77777777" w:rsidR="00543122" w:rsidRPr="00543122" w:rsidRDefault="00543122" w:rsidP="00237380">
      <w:pPr>
        <w:adjustRightInd w:val="0"/>
        <w:jc w:val="both"/>
        <w:rPr>
          <w:u w:val="single"/>
          <w:lang w:eastAsia="zh-CN"/>
        </w:rPr>
      </w:pPr>
    </w:p>
    <w:p w14:paraId="654F3374" w14:textId="77777777" w:rsidR="00472851" w:rsidRDefault="00472851" w:rsidP="00472851">
      <w:pPr>
        <w:jc w:val="both"/>
        <w:rPr>
          <w:b/>
          <w:i/>
          <w:sz w:val="24"/>
          <w:szCs w:val="24"/>
        </w:rPr>
      </w:pPr>
      <w:r>
        <w:rPr>
          <w:b/>
          <w:i/>
          <w:sz w:val="24"/>
          <w:szCs w:val="24"/>
        </w:rPr>
        <w:t xml:space="preserve">Questão de ordem. Sustentação oral. Juízo de retratação. Possibilidade. </w:t>
      </w:r>
    </w:p>
    <w:p w14:paraId="654F3375" w14:textId="0D8AD10D" w:rsidR="00472851" w:rsidRDefault="00472851" w:rsidP="00472851">
      <w:pPr>
        <w:jc w:val="both"/>
        <w:rPr>
          <w:sz w:val="24"/>
          <w:szCs w:val="24"/>
          <w:u w:val="single"/>
        </w:rPr>
      </w:pPr>
      <w:r>
        <w:rPr>
          <w:sz w:val="24"/>
          <w:szCs w:val="24"/>
        </w:rPr>
        <w:t xml:space="preserve">A SBDI-I assegurou amplamente o direito à sustentação oral nos casos de juízo de retratação, seja ele positivo ou negativo. A questão de ordem foi suscitada pela Presidente, Ministra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durante o julgamento de um recurso de embargos que retornou ao TST para eventual exercício de juízo de retratação, na forma da Lei nº 11.418/2006, que trata do instituto da Repercussão Geral. Na ocasião, destacou-se que o Regimento Interno da Corte não prevê restrição nessa hipótese e que a decisão do Supremo Tribunal Federal é fato superveniente não contemplado no julgamento original, sendo, portanto, imperioso garantir às partes o uso da palavra, sem condicionantes. Sob esses fundamentos, a SBDI-I, por maioria, analisando a referida questão de ordem, decidiu assegurar o direito à sustentação oral nos processos que retornam a julgamento para</w:t>
      </w:r>
      <w:r w:rsidR="007140F6">
        <w:rPr>
          <w:sz w:val="24"/>
          <w:szCs w:val="24"/>
        </w:rPr>
        <w:t xml:space="preserve"> </w:t>
      </w:r>
      <w:r>
        <w:rPr>
          <w:sz w:val="24"/>
          <w:szCs w:val="24"/>
        </w:rPr>
        <w:t xml:space="preserve">juízo de retratação, independentemente de ser exercido ou não. Vencidos os Ministros </w:t>
      </w:r>
      <w:proofErr w:type="spellStart"/>
      <w:r>
        <w:rPr>
          <w:sz w:val="24"/>
          <w:szCs w:val="24"/>
        </w:rPr>
        <w:t>Lelio</w:t>
      </w:r>
      <w:proofErr w:type="spellEnd"/>
      <w:r>
        <w:rPr>
          <w:sz w:val="24"/>
          <w:szCs w:val="24"/>
        </w:rPr>
        <w:t xml:space="preserve"> Bentes Corrêa, Walmir Oliveira da Costa, Augusto César Leite de Carvalho, Hugo Carlos </w:t>
      </w:r>
      <w:proofErr w:type="spellStart"/>
      <w:r>
        <w:rPr>
          <w:sz w:val="24"/>
          <w:szCs w:val="24"/>
        </w:rPr>
        <w:t>Scheuermann</w:t>
      </w:r>
      <w:proofErr w:type="spellEnd"/>
      <w:r>
        <w:rPr>
          <w:sz w:val="24"/>
          <w:szCs w:val="24"/>
        </w:rPr>
        <w:t xml:space="preserve">, Cláudio Mascarenhas Brandão e Breno Medeiros. </w:t>
      </w:r>
      <w:hyperlink r:id="rId8" w:history="1">
        <w:r>
          <w:rPr>
            <w:rStyle w:val="Hyperlink"/>
            <w:rFonts w:eastAsiaTheme="minorEastAsia"/>
            <w:sz w:val="24"/>
            <w:szCs w:val="24"/>
          </w:rPr>
          <w:t>TST-E-RR-ED-1813-26.2010.5.06.0000</w:t>
        </w:r>
      </w:hyperlink>
      <w:r>
        <w:rPr>
          <w:sz w:val="24"/>
          <w:szCs w:val="24"/>
          <w:u w:val="single"/>
        </w:rPr>
        <w:t xml:space="preserve">, SBDI-I, rel. Min. Alberto Luiz </w:t>
      </w:r>
      <w:proofErr w:type="spellStart"/>
      <w:r>
        <w:rPr>
          <w:sz w:val="24"/>
          <w:szCs w:val="24"/>
          <w:u w:val="single"/>
        </w:rPr>
        <w:t>Bresciani</w:t>
      </w:r>
      <w:proofErr w:type="spellEnd"/>
      <w:r>
        <w:rPr>
          <w:sz w:val="24"/>
          <w:szCs w:val="24"/>
          <w:u w:val="single"/>
        </w:rPr>
        <w:t xml:space="preserve"> de </w:t>
      </w:r>
      <w:proofErr w:type="spellStart"/>
      <w:r>
        <w:rPr>
          <w:sz w:val="24"/>
          <w:szCs w:val="24"/>
          <w:u w:val="single"/>
        </w:rPr>
        <w:t>Fontan</w:t>
      </w:r>
      <w:proofErr w:type="spellEnd"/>
      <w:r>
        <w:rPr>
          <w:sz w:val="24"/>
          <w:szCs w:val="24"/>
          <w:u w:val="single"/>
        </w:rPr>
        <w:t xml:space="preserve"> Pereira, 21/5/2020.</w:t>
      </w:r>
    </w:p>
    <w:p w14:paraId="654F3376" w14:textId="77777777" w:rsidR="00472851" w:rsidRPr="00472851" w:rsidRDefault="00472851" w:rsidP="00472851">
      <w:pPr>
        <w:pStyle w:val="Identificao"/>
        <w:rPr>
          <w:rFonts w:ascii="Times New Roman" w:eastAsiaTheme="minorHAnsi" w:hAnsi="Times New Roman" w:cs="Times New Roman"/>
          <w:color w:val="FF0000"/>
          <w:sz w:val="20"/>
          <w:szCs w:val="20"/>
          <w:lang w:val="pt-BR" w:eastAsia="en-US"/>
        </w:rPr>
      </w:pPr>
    </w:p>
    <w:p w14:paraId="654F3377" w14:textId="77777777" w:rsidR="00472851" w:rsidRDefault="00472851" w:rsidP="00472851">
      <w:pPr>
        <w:ind w:right="-74"/>
        <w:jc w:val="both"/>
        <w:rPr>
          <w:rFonts w:eastAsiaTheme="minorHAnsi"/>
          <w:b/>
          <w:i/>
          <w:sz w:val="24"/>
          <w:szCs w:val="24"/>
          <w:lang w:eastAsia="en-US"/>
        </w:rPr>
      </w:pPr>
      <w:r>
        <w:rPr>
          <w:b/>
          <w:i/>
          <w:sz w:val="24"/>
          <w:szCs w:val="24"/>
        </w:rPr>
        <w:t>Julgamento ultra petita. Limitação da condenação aos valores líquidos constantes da petição inicial. Aplicação do artigo 492 do CPC de 2015.</w:t>
      </w:r>
    </w:p>
    <w:p w14:paraId="654F3378" w14:textId="77777777" w:rsidR="00472851" w:rsidRDefault="00472851" w:rsidP="00472851">
      <w:pPr>
        <w:ind w:right="-74"/>
        <w:jc w:val="both"/>
        <w:rPr>
          <w:sz w:val="24"/>
          <w:szCs w:val="24"/>
          <w:u w:val="single"/>
        </w:rPr>
      </w:pPr>
      <w:r>
        <w:rPr>
          <w:sz w:val="24"/>
          <w:szCs w:val="24"/>
        </w:rPr>
        <w:t xml:space="preserve">Ao formular pedidos com valores líquidos na petição inicial, sem registrar qualquer ressalva, o autor limita a condenação a esses parâmetros, a teor do disposto no art. 492 do CPC de 2015. Com efeito, nos termos do referido dispositivo legal, “é vedado ao juiz proferir decisão de natureza diversa da pedida, bem como condenar a parte em quantidade superior ou em objeto diverso do que lhe foi demandado”. No caso concreto, extrai-se da petição inicial que o reclamante requereu o pagamento de horas </w:t>
      </w:r>
      <w:r>
        <w:rPr>
          <w:i/>
          <w:sz w:val="24"/>
          <w:szCs w:val="24"/>
        </w:rPr>
        <w:t xml:space="preserve">in </w:t>
      </w:r>
      <w:proofErr w:type="spellStart"/>
      <w:r>
        <w:rPr>
          <w:i/>
          <w:sz w:val="24"/>
          <w:szCs w:val="24"/>
        </w:rPr>
        <w:t>itinere</w:t>
      </w:r>
      <w:proofErr w:type="spellEnd"/>
      <w:r>
        <w:rPr>
          <w:sz w:val="24"/>
          <w:szCs w:val="24"/>
        </w:rPr>
        <w:t xml:space="preserve"> no exato valor de R$ 3.803,00, não havendo qualquer menção de se tratar de mera estimativa ou requerimento de apuração em liquidação, como havia sido feito em outros pedidos. Sob esse fundamento, a SBDI-1, por unanimidade, decidiu conhecer do recurso de embargos, por divergência jurisprudencial, e, no mérito, dar-lhe provimento para, no tocante ao pedido de horas </w:t>
      </w:r>
      <w:r>
        <w:rPr>
          <w:i/>
          <w:sz w:val="24"/>
          <w:szCs w:val="24"/>
        </w:rPr>
        <w:t xml:space="preserve">in </w:t>
      </w:r>
      <w:proofErr w:type="spellStart"/>
      <w:r>
        <w:rPr>
          <w:i/>
          <w:sz w:val="24"/>
          <w:szCs w:val="24"/>
        </w:rPr>
        <w:t>itinere</w:t>
      </w:r>
      <w:proofErr w:type="spellEnd"/>
      <w:r>
        <w:rPr>
          <w:sz w:val="24"/>
          <w:szCs w:val="24"/>
        </w:rPr>
        <w:t xml:space="preserve">, limitar as parcelas condenatórias aos valores indicados na petição inicial. </w:t>
      </w:r>
      <w:hyperlink r:id="rId9" w:history="1">
        <w:r>
          <w:rPr>
            <w:rStyle w:val="Hyperlink"/>
            <w:rFonts w:eastAsiaTheme="minorEastAsia"/>
            <w:sz w:val="24"/>
            <w:szCs w:val="24"/>
          </w:rPr>
          <w:t>TST-E-ARR-10472-61.2015.5.18.0211</w:t>
        </w:r>
      </w:hyperlink>
      <w:r>
        <w:rPr>
          <w:sz w:val="24"/>
          <w:szCs w:val="24"/>
          <w:u w:val="single"/>
        </w:rPr>
        <w:t>, SBDI-I, rel</w:t>
      </w:r>
      <w:r w:rsidR="00E402E1">
        <w:rPr>
          <w:sz w:val="24"/>
          <w:szCs w:val="24"/>
          <w:u w:val="single"/>
        </w:rPr>
        <w:t>. Min. Walmir Oliveira da Costa</w:t>
      </w:r>
      <w:r>
        <w:rPr>
          <w:sz w:val="24"/>
          <w:szCs w:val="24"/>
          <w:u w:val="single"/>
        </w:rPr>
        <w:t>, 21/5/2020.</w:t>
      </w:r>
    </w:p>
    <w:p w14:paraId="654F3379" w14:textId="77777777" w:rsidR="00472851" w:rsidRPr="00472851" w:rsidRDefault="00472851" w:rsidP="00472851">
      <w:pPr>
        <w:pStyle w:val="Identificao"/>
        <w:rPr>
          <w:rFonts w:ascii="Times New Roman" w:eastAsiaTheme="minorHAnsi" w:hAnsi="Times New Roman" w:cs="Times New Roman"/>
          <w:color w:val="auto"/>
          <w:sz w:val="20"/>
          <w:szCs w:val="20"/>
          <w:lang w:val="pt-BR" w:eastAsia="en-US"/>
        </w:rPr>
      </w:pPr>
    </w:p>
    <w:p w14:paraId="654F337A" w14:textId="77777777" w:rsidR="00472851" w:rsidRDefault="00472851" w:rsidP="00472851">
      <w:pPr>
        <w:ind w:right="-71"/>
        <w:jc w:val="both"/>
        <w:rPr>
          <w:b/>
          <w:i/>
          <w:sz w:val="24"/>
          <w:szCs w:val="24"/>
        </w:rPr>
      </w:pPr>
      <w:r>
        <w:rPr>
          <w:b/>
          <w:i/>
          <w:sz w:val="24"/>
          <w:szCs w:val="24"/>
        </w:rPr>
        <w:t>Viagens para participação em cursos e treinamentos exigidos pela empresa. Tempo de espera para o embarque no aeroporto e tempo efetivo de voo. Horas extras. Devidas. Tempo à disposição do empregador. Art. 4º da CLT.</w:t>
      </w:r>
    </w:p>
    <w:p w14:paraId="654F337B" w14:textId="77777777" w:rsidR="00472851" w:rsidRDefault="00472851" w:rsidP="00472851">
      <w:pPr>
        <w:jc w:val="both"/>
        <w:rPr>
          <w:sz w:val="24"/>
          <w:szCs w:val="24"/>
        </w:rPr>
      </w:pPr>
      <w:r>
        <w:rPr>
          <w:sz w:val="24"/>
          <w:szCs w:val="24"/>
        </w:rPr>
        <w:t xml:space="preserve">Na hipótese de viagens para participação em cursos de treinamento e capacitação exigidos pelo empregador e realizados em cidades estranhas ao local da prestação de serviços, considera-se tempo à sua disposição o período de trânsito aéreo, bem como aquele expendido no aeroporto aguardando o embarque, limitado este último a uma hora. Inteligência do art. 4º da CLT. Entendeu-se, ainda, que não devem ser computados como tempo à disposição nenhum dos períodos de deslocamento até </w:t>
      </w:r>
      <w:r>
        <w:rPr>
          <w:sz w:val="24"/>
          <w:szCs w:val="24"/>
        </w:rPr>
        <w:lastRenderedPageBreak/>
        <w:t xml:space="preserve">o aeroporto, seja ao de origem, na ida, seja ao de destino, na volta, e nem aquele gasto em trânsito do aeroporto ao hotel em que ficaria hospedado na cidade de realização dos cursos. Com esses fundamentos, a SBDI-I decidiu, por maioria, conhecer dos embargos por divergência jurisprudencial, vencido o Ministro Breno Medeiros, e, no mérito, nos termos do voto médio do Ministro Alexandre Luiz Ramos, dar-lhes provimento parcial para assegurar à reclamante o pagamento das horas de espera em aeroporto para embarque e desembarque, vencidos, totalmente, os Ministros Maria Cristina </w:t>
      </w:r>
      <w:proofErr w:type="spellStart"/>
      <w:r>
        <w:rPr>
          <w:sz w:val="24"/>
          <w:szCs w:val="24"/>
        </w:rPr>
        <w:t>Peduzzi</w:t>
      </w:r>
      <w:proofErr w:type="spellEnd"/>
      <w:r>
        <w:rPr>
          <w:sz w:val="24"/>
          <w:szCs w:val="24"/>
        </w:rPr>
        <w:t xml:space="preserve">, Breno Medeiros e Aloysio Corrêa da Veiga e, parcialmente, os Ministros Augusto César Leite de Carvalho, relator, Hugo Carlos </w:t>
      </w:r>
      <w:proofErr w:type="spellStart"/>
      <w:r>
        <w:rPr>
          <w:sz w:val="24"/>
          <w:szCs w:val="24"/>
        </w:rPr>
        <w:t>Scheuermann</w:t>
      </w:r>
      <w:proofErr w:type="spellEnd"/>
      <w:r>
        <w:rPr>
          <w:sz w:val="24"/>
          <w:szCs w:val="24"/>
        </w:rPr>
        <w:t xml:space="preserve">, Cláudio Mascarenhas Brandão, João Batista Brito Pereira, </w:t>
      </w:r>
      <w:proofErr w:type="spellStart"/>
      <w:r>
        <w:rPr>
          <w:sz w:val="24"/>
          <w:szCs w:val="24"/>
        </w:rPr>
        <w:t>Lelio</w:t>
      </w:r>
      <w:proofErr w:type="spellEnd"/>
      <w:r>
        <w:rPr>
          <w:sz w:val="24"/>
          <w:szCs w:val="24"/>
        </w:rPr>
        <w:t xml:space="preserve"> Bentes Corrêa, Luiz Philippe Vieira de Mello Filho e Walmir Oliveira da Costa, na parte em que também davam provimento aos embargos para julgar procedente o pedido de cômputo como horas extraordinárias do tempo de traslado entre aeroportos e hotéis, quando extrapoladas da jornada ordinária. </w:t>
      </w:r>
      <w:hyperlink r:id="rId10" w:history="1">
        <w:r>
          <w:rPr>
            <w:rStyle w:val="Hyperlink"/>
            <w:rFonts w:eastAsiaTheme="minorEastAsia"/>
            <w:sz w:val="24"/>
            <w:szCs w:val="24"/>
          </w:rPr>
          <w:t>TST-E-RR-770-74.2011.5.03.0106</w:t>
        </w:r>
      </w:hyperlink>
      <w:r>
        <w:rPr>
          <w:sz w:val="24"/>
          <w:szCs w:val="24"/>
          <w:u w:val="single"/>
        </w:rPr>
        <w:t>, SBDI-I, rel. Min. Augusto César Leite de Carvalho, red. p/ acórdão Min. Alexandre Luiz Ramos, 21/5/2020.</w:t>
      </w:r>
    </w:p>
    <w:p w14:paraId="654F337C" w14:textId="77777777" w:rsidR="00543122" w:rsidRPr="00472851" w:rsidRDefault="00543122" w:rsidP="00237380">
      <w:pPr>
        <w:adjustRightInd w:val="0"/>
        <w:jc w:val="both"/>
        <w:rPr>
          <w:u w:val="single"/>
          <w:lang w:eastAsia="zh-CN"/>
        </w:rPr>
      </w:pPr>
    </w:p>
    <w:p w14:paraId="654F337D" w14:textId="77777777" w:rsidR="00543122" w:rsidRPr="006717E0"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II ESPECIALIZADA EM DISSÍDIOS INDIVIDUAIS</w:t>
      </w:r>
    </w:p>
    <w:p w14:paraId="654F337E" w14:textId="77777777" w:rsidR="00543122" w:rsidRPr="00543122" w:rsidRDefault="00543122" w:rsidP="00543122">
      <w:pPr>
        <w:adjustRightInd w:val="0"/>
        <w:jc w:val="both"/>
        <w:rPr>
          <w:b/>
          <w:bCs/>
          <w:i/>
          <w:iCs/>
        </w:rPr>
      </w:pPr>
    </w:p>
    <w:p w14:paraId="654F337F" w14:textId="77777777" w:rsidR="00472851" w:rsidRDefault="00472851" w:rsidP="00472851">
      <w:pPr>
        <w:adjustRightInd w:val="0"/>
        <w:jc w:val="both"/>
        <w:rPr>
          <w:b/>
          <w:i/>
          <w:sz w:val="24"/>
          <w:szCs w:val="24"/>
        </w:rPr>
      </w:pPr>
      <w:r>
        <w:rPr>
          <w:b/>
          <w:i/>
          <w:sz w:val="24"/>
          <w:szCs w:val="24"/>
        </w:rPr>
        <w:t xml:space="preserve">Conflito negativo de competência. Juízo rescisório. Sentença proferida pela Justiça Comum anteriormente à promulgação da Emenda Constitucional nº 45 de 2004. Julgamento do Conflito de Competência 7.204-1/MG pelo STF. Súmula Vinculante 22 do STF. Incompetência material da Justiça do Trabalho. </w:t>
      </w:r>
    </w:p>
    <w:p w14:paraId="654F3380" w14:textId="77777777" w:rsidR="00472851" w:rsidRDefault="00472851" w:rsidP="00472851">
      <w:pPr>
        <w:adjustRightInd w:val="0"/>
        <w:jc w:val="both"/>
        <w:rPr>
          <w:i/>
          <w:sz w:val="24"/>
          <w:szCs w:val="24"/>
        </w:rPr>
      </w:pPr>
      <w:r>
        <w:rPr>
          <w:sz w:val="24"/>
          <w:szCs w:val="24"/>
        </w:rPr>
        <w:t xml:space="preserve">Após o julgamento do Conflito de Competência 7.204-1/MG, pelo Supremo Tribunal Federal, consolidou-se o entendimento de que a Justiça do Trabalho detém a competência para julgar causas relativas à indenização por danos morais e materiais decorrentes de acidente de trabalho. Na oportunidade, foram estabelecidos parâmetros para os efeitos da decisão no tocante aos processos em tramitação: o marco temporal da competência da Justiça Trabalhista é o advento da Emenda Constitucional nº 45/2004 e as ações em curso perante a Justiça Comum, com sentença de mérito anterior à promulgação da referida Emenda Constitucional, devem lá permanecer até o trânsito em julgado e o cumprimento de sentença. </w:t>
      </w:r>
      <w:r>
        <w:rPr>
          <w:i/>
          <w:sz w:val="24"/>
          <w:szCs w:val="24"/>
        </w:rPr>
        <w:t xml:space="preserve">In </w:t>
      </w:r>
      <w:proofErr w:type="spellStart"/>
      <w:r>
        <w:rPr>
          <w:i/>
          <w:sz w:val="24"/>
          <w:szCs w:val="24"/>
        </w:rPr>
        <w:t>casu</w:t>
      </w:r>
      <w:proofErr w:type="spellEnd"/>
      <w:r>
        <w:rPr>
          <w:sz w:val="24"/>
          <w:szCs w:val="24"/>
        </w:rPr>
        <w:t xml:space="preserve">, a ação foi ajuizada em 28/11/2002, em face de um acidente ocorrido em 13/7/2000, sendo julgada procedente pelo Juízo Cível, com apelo ao TJSC, que, monocraticamente, já sob à égide da EC nº 45/2004, declinou da competência para a Justiça do Trabalho. O processo foi recebido pelo TRT, que, sem submissão à primeira instância, extinguiu-o com resolução de mérito, em virtude de prescrição bienal, decisão </w:t>
      </w:r>
      <w:proofErr w:type="spellStart"/>
      <w:r>
        <w:rPr>
          <w:sz w:val="24"/>
          <w:szCs w:val="24"/>
        </w:rPr>
        <w:t>esta</w:t>
      </w:r>
      <w:proofErr w:type="spellEnd"/>
      <w:r>
        <w:rPr>
          <w:sz w:val="24"/>
          <w:szCs w:val="24"/>
        </w:rPr>
        <w:t xml:space="preserve"> rescindida, por violação do art. 7º, XXIX, da CF. Nessa esteira, suscitou-se conflito negativo de competência, visto que a sentença de mérito foi prolatada pelo Juízo Cível em 9/4/2004, antes, portanto, da promulgação da EC nº 45/2004, que entrou em vigor em 31/12/2004. À luz da Súmula Vinculante 22 do STF e em respeito ao decidido pelo STF no CC 7.204-1/MG, a competência para o exame da causa originária é da Justiça Comum, porquanto não compete à Justiça do Trabalho processar e julgar as ações de indenização decorrentes de acidente de trabalho, que, antes da promulgação da EC 45/2004, já se encontravam sentenciadas no Juízo Cível. Com esses fundamentos, a SBDI-II decidiu, por unanimidade, conhecer do recurso ordinário e, no mérito, negar-lhe provimento quanto às matérias relativas ao juízo </w:t>
      </w:r>
      <w:proofErr w:type="spellStart"/>
      <w:r>
        <w:rPr>
          <w:sz w:val="24"/>
          <w:szCs w:val="24"/>
        </w:rPr>
        <w:t>rescindente</w:t>
      </w:r>
      <w:proofErr w:type="spellEnd"/>
      <w:r>
        <w:rPr>
          <w:sz w:val="24"/>
          <w:szCs w:val="24"/>
        </w:rPr>
        <w:t xml:space="preserve"> e, quanto ao juízo rescisório, suscitar conflito negativo de competência, determinando a remessa dos autos ao Excelso STF, para resolução da polêmica, na forma do art. 102, I, "o", da Carta de 1988. </w:t>
      </w:r>
      <w:hyperlink r:id="rId11" w:history="1">
        <w:r>
          <w:rPr>
            <w:rStyle w:val="Hyperlink"/>
            <w:rFonts w:eastAsiaTheme="minorEastAsia"/>
            <w:sz w:val="24"/>
            <w:szCs w:val="24"/>
          </w:rPr>
          <w:t>TST-RO-96700-68.2009.5.12.0000</w:t>
        </w:r>
      </w:hyperlink>
      <w:r>
        <w:rPr>
          <w:sz w:val="24"/>
          <w:szCs w:val="24"/>
          <w:u w:val="single"/>
        </w:rPr>
        <w:t>, SBDI-II, rel. Min. Douglas Alencar Rodrigues, 19/5/2020.</w:t>
      </w:r>
    </w:p>
    <w:p w14:paraId="654F3381" w14:textId="77777777" w:rsidR="00472851" w:rsidRPr="00472851" w:rsidRDefault="00472851" w:rsidP="00472851">
      <w:pPr>
        <w:pStyle w:val="Identificao"/>
        <w:rPr>
          <w:rFonts w:ascii="Times New Roman" w:eastAsiaTheme="minorHAnsi" w:hAnsi="Times New Roman" w:cs="Times New Roman"/>
          <w:b/>
          <w:i/>
          <w:color w:val="FF0000"/>
          <w:sz w:val="20"/>
          <w:szCs w:val="20"/>
          <w:lang w:val="pt-BR" w:eastAsia="en-US"/>
        </w:rPr>
      </w:pPr>
    </w:p>
    <w:p w14:paraId="654F3382" w14:textId="77777777" w:rsidR="00472851" w:rsidRDefault="00472851" w:rsidP="00472851">
      <w:pPr>
        <w:ind w:right="-74"/>
        <w:jc w:val="both"/>
        <w:rPr>
          <w:rFonts w:eastAsiaTheme="minorHAnsi"/>
          <w:b/>
          <w:i/>
          <w:sz w:val="24"/>
          <w:szCs w:val="24"/>
          <w:lang w:eastAsia="en-US"/>
        </w:rPr>
      </w:pPr>
      <w:r>
        <w:rPr>
          <w:b/>
          <w:i/>
          <w:sz w:val="24"/>
          <w:szCs w:val="24"/>
        </w:rPr>
        <w:t xml:space="preserve">Ação rescisória. Depósito prévio. Pessoa jurídica. Ausência de regularização. Extinção do processo, sem resolução do mérito, antes da análise do pedido de concessão de gratuidade de justiça. Impossibilidade. </w:t>
      </w:r>
    </w:p>
    <w:p w14:paraId="654F3383" w14:textId="77777777" w:rsidR="00472851" w:rsidRDefault="00472851" w:rsidP="00472851">
      <w:pPr>
        <w:ind w:right="-74"/>
        <w:jc w:val="both"/>
        <w:rPr>
          <w:rFonts w:asciiTheme="minorHAnsi" w:hAnsiTheme="minorHAnsi" w:cstheme="minorBidi"/>
          <w:sz w:val="24"/>
          <w:szCs w:val="24"/>
        </w:rPr>
      </w:pPr>
      <w:r>
        <w:rPr>
          <w:sz w:val="24"/>
          <w:szCs w:val="24"/>
        </w:rPr>
        <w:t xml:space="preserve">A decisão que, antes de analisar o pedido de benefício de gratuidade de justiça pleiteado por pessoa jurídica, indefere a petição inicial e extingue a ação rescisória, sem resolução de mérito, por falta de regularização do depósito prévio, está em desacordo com o que preceitua o art. 99, § 2º, do CPC de </w:t>
      </w:r>
      <w:r>
        <w:rPr>
          <w:sz w:val="24"/>
          <w:szCs w:val="24"/>
        </w:rPr>
        <w:lastRenderedPageBreak/>
        <w:t xml:space="preserve">2015. No caso, diante do descumprimento de determinação que concedia prazo para a regularização do depósito prévio, o julgador extinguiu a ação sem que houvesse manifestação da parte a respeito da ausência dos requisitos para a concessão da justiça gratuita e sem a oportunidade para o exercício do direito de defesa quanto a esse aspecto. Sob esse entendimento, a SBDI-II, por unanimidade, conheceu do recurso ordinário e, no mérito, deu-lhe provimento parcial para afastar a extinção do processo, sem resolução do mérito, e determinar o retorno dos autos ao Tribunal Regional para que prossiga no exame da admissibilidade da ação rescisória, considerando o pedido de concessão dos benefícios da justiça gratuita requerido na petição inicial. </w:t>
      </w:r>
      <w:hyperlink r:id="rId12" w:history="1">
        <w:r>
          <w:rPr>
            <w:rStyle w:val="Hyperlink"/>
            <w:sz w:val="24"/>
            <w:szCs w:val="24"/>
          </w:rPr>
          <w:t>TST-RO-315-82.2017.5.19.0000</w:t>
        </w:r>
      </w:hyperlink>
      <w:r>
        <w:rPr>
          <w:sz w:val="24"/>
          <w:szCs w:val="24"/>
          <w:u w:val="single"/>
        </w:rPr>
        <w:t>, SBDI-II, rel. Min. Alexandre de Souza Agra Belmonte, 26/5/2020.</w:t>
      </w:r>
    </w:p>
    <w:p w14:paraId="654F3384" w14:textId="77777777" w:rsidR="005848D7" w:rsidRPr="00472851" w:rsidRDefault="005848D7" w:rsidP="00F53215">
      <w:pPr>
        <w:jc w:val="both"/>
        <w:rPr>
          <w:u w:val="single"/>
        </w:rPr>
      </w:pPr>
    </w:p>
    <w:p w14:paraId="654F3385"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654F3386" w14:textId="77777777"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654F3387" w14:textId="77777777" w:rsidR="004B3120" w:rsidRPr="004B3120" w:rsidRDefault="004B3120" w:rsidP="004B3120">
      <w:pPr>
        <w:jc w:val="both"/>
        <w:outlineLvl w:val="0"/>
        <w:rPr>
          <w:rFonts w:eastAsiaTheme="minorEastAsia"/>
          <w:b/>
          <w:i/>
          <w:color w:val="000000"/>
        </w:rPr>
      </w:pPr>
      <w:bookmarkStart w:id="0" w:name="Ementa"/>
      <w:bookmarkStart w:id="1" w:name="tempEmenta"/>
    </w:p>
    <w:p w14:paraId="654F3388" w14:textId="77777777" w:rsidR="00472851" w:rsidRPr="00472851" w:rsidRDefault="00472851" w:rsidP="00472851">
      <w:pPr>
        <w:jc w:val="both"/>
        <w:outlineLvl w:val="0"/>
        <w:rPr>
          <w:rFonts w:eastAsiaTheme="minorEastAsia"/>
          <w:color w:val="000000"/>
          <w:sz w:val="24"/>
          <w:szCs w:val="24"/>
        </w:rPr>
      </w:pPr>
      <w:r w:rsidRPr="00472851">
        <w:rPr>
          <w:rFonts w:eastAsiaTheme="minorEastAsia"/>
          <w:i/>
          <w:color w:val="000000"/>
          <w:sz w:val="24"/>
          <w:szCs w:val="24"/>
        </w:rPr>
        <w:t xml:space="preserve">“JUÍZO DE RETRATAÇÃO NÃO EXERCIDO. RETORNO DOS AUTOS À TURMA. ARTIGO 1.030, INCISO II, DO CPC/2015. TERCEIRIZAÇÃO. CONCESSIONÁRIA DE SERVIÇOS DE TELECOMUNICAÇÕES. PREVISÃO NO ARTIGO 94, INCISO II, DA LEI Nº 9.472/97. IMPOSSIBILIDADE DE SE AFASTAR A APLICAÇÃO DO DISPOSITIVO SEM DECLARAÇÃO DE INCONSTITUCIONALIDADE (SÚMULA VINCULANTE 10 E ARTIGO 97 DA CONSTITUIÇÃO FEDERAL). DECISÃO PROFERIDA PELO SUPREMO TRIBUNAL FEDERAL NOS AUTOS DO ARE-791.932-DF, TEMA 739 DA TABELA DE REPERCUSSÃO GERAL. LICITUDE DA TERCEIRIZAÇÃO, INCLUSIVE EM ATIVIDADE-FIM DA TOMADORA DE SERVIÇOS e RESPONSABILIZAÇÃO SUBSIDIÁRIA DA TOMADORA PELOS CRÉDITOS DO TRABALHADOR TERCEIRIZADO. TESE FIRMADA NOS AUTOS DA ADPF 324 E DO RE-958.252-MG, TEMA 725 DA TABELA DE REPERCUSSÃO GERAL. HIPÓTESE DOS AUTOS NÃO VINCULADA À RATIO DECIDENDI DA CONTROVÉRSIA APRECIADA PELA SUPREMA CORTE. JUÍZO DE RETRATAÇÃO NÃO EXERCIDO. DINSTINGUISHING. 1. Esta Corte firmou o entendimento de que os serviços de </w:t>
      </w:r>
      <w:proofErr w:type="spellStart"/>
      <w:r w:rsidRPr="00472851">
        <w:rPr>
          <w:rFonts w:eastAsiaTheme="minorEastAsia"/>
          <w:i/>
          <w:color w:val="000000"/>
          <w:sz w:val="24"/>
          <w:szCs w:val="24"/>
        </w:rPr>
        <w:t>call</w:t>
      </w:r>
      <w:proofErr w:type="spellEnd"/>
      <w:r w:rsidRPr="00472851">
        <w:rPr>
          <w:rFonts w:eastAsiaTheme="minorEastAsia"/>
          <w:i/>
          <w:color w:val="000000"/>
          <w:sz w:val="24"/>
          <w:szCs w:val="24"/>
        </w:rPr>
        <w:t xml:space="preserve"> center e de instalação e manutenção de linhas telefônicas, por se tratar de atividades-fim das concessionárias de serviços de telecomunicações (tomadoras de serviços), não poderiam ser terceirizados, com fundamento na Súmula nº 331, itens I e III, do TST. A consequência da ilicitude da terceirização é o reconhecimento do vínculo de emprego entre o trabalhador terceirizado e essas empresas.</w:t>
      </w:r>
      <w:r w:rsidR="007A52F4">
        <w:rPr>
          <w:rFonts w:eastAsiaTheme="minorEastAsia"/>
          <w:i/>
          <w:color w:val="000000"/>
          <w:sz w:val="24"/>
          <w:szCs w:val="24"/>
        </w:rPr>
        <w:t xml:space="preserve"> </w:t>
      </w:r>
      <w:r w:rsidRPr="00472851">
        <w:rPr>
          <w:rFonts w:eastAsiaTheme="minorEastAsia"/>
          <w:i/>
          <w:color w:val="000000"/>
          <w:sz w:val="24"/>
          <w:szCs w:val="24"/>
        </w:rPr>
        <w:t>2. Por outro lado, a Lei nº 9.472/97, que regula as concessões e permissões no setor das telecomunicações, como norma de Direito Administrativo, não foi promulgada para regular matéria trabalhista, devendo ser interpretada à luz dos princípios e das regras que norteiam o Direito do Trabalho, de modo a não esvaziar de sentido prático ou a negar vigência e eficácia às normas trabalhistas que, no País, disciplinam a prestação do trabalho subordinado e as próprias figuras do empregado e do empregador. Dessa forma, quando os órgãos fracionários dos Tribunais trabalhistas interpretam o artigo 94, inciso II, da Lei nº 9.472/97, não estão deixando de aplicar o dispositivo legal por considerá-lo inconstitucional. Não se verifica, pois, desrespeito ao disposto na Súmula Vinculante nº 10 e no artigo 97 da Constituição Federal.</w:t>
      </w:r>
      <w:r w:rsidR="007A52F4">
        <w:rPr>
          <w:rFonts w:eastAsiaTheme="minorEastAsia"/>
          <w:i/>
          <w:color w:val="000000"/>
          <w:sz w:val="24"/>
          <w:szCs w:val="24"/>
        </w:rPr>
        <w:t xml:space="preserve"> </w:t>
      </w:r>
      <w:r w:rsidRPr="00472851">
        <w:rPr>
          <w:rFonts w:eastAsiaTheme="minorEastAsia"/>
          <w:i/>
          <w:color w:val="000000"/>
          <w:sz w:val="24"/>
          <w:szCs w:val="24"/>
        </w:rPr>
        <w:t>3. Não obstante seja esse o entendimento deste Relator, curvo-me, com ressalva, à tese firmada pelo Supremo Tribunal Federal, nos autos do ARE-791.932-DF – Tema 739 da Tabela de Repercussão Geral, em observância ao disposto no artigo 927, inciso III, do CPC.</w:t>
      </w:r>
      <w:r w:rsidR="007A52F4">
        <w:rPr>
          <w:rFonts w:eastAsiaTheme="minorEastAsia"/>
          <w:i/>
          <w:color w:val="000000"/>
          <w:sz w:val="24"/>
          <w:szCs w:val="24"/>
        </w:rPr>
        <w:t xml:space="preserve"> </w:t>
      </w:r>
      <w:r w:rsidRPr="00472851">
        <w:rPr>
          <w:rFonts w:eastAsiaTheme="minorEastAsia"/>
          <w:i/>
          <w:color w:val="000000"/>
          <w:sz w:val="24"/>
          <w:szCs w:val="24"/>
        </w:rPr>
        <w:t xml:space="preserve">4. A Suprema Corte, em decisão relatada pelo Exmo. Ministro Alexandre de Moraes, por maioria, considerou “nula decisão de órgão fracionário que, ao negar a aplicação do inciso II, do art. 94 da Lei 9.472/1997, com base na Súmula 331/TST, e declarar ilícita a terceirização e atividade-fim, reconhece a existência de vínculo trabalhista entre a contratante e o empregado da contratada, pois exerceu controle difuso de constitucionalidade, declarando a parcial nulidade sem redução de texto do referido dispositivo sem observar a cláusula de reserva de Plenário”. Assim, foi fixada a “seguinte tese no TEMA 739: "É nula a decisão de órgão fracionário que se recusa a aplicar o art. 94, II, da Lei 9.472/1997, sem observar a cláusula de reserva de Plenário (CF, art. 97), observado o artigo 949 do CPC” (acórdão publicado no </w:t>
      </w:r>
      <w:proofErr w:type="spellStart"/>
      <w:r w:rsidRPr="00472851">
        <w:rPr>
          <w:rFonts w:eastAsiaTheme="minorEastAsia"/>
          <w:i/>
          <w:color w:val="000000"/>
          <w:sz w:val="24"/>
          <w:szCs w:val="24"/>
        </w:rPr>
        <w:t>DJe</w:t>
      </w:r>
      <w:proofErr w:type="spellEnd"/>
      <w:r w:rsidRPr="00472851">
        <w:rPr>
          <w:rFonts w:eastAsiaTheme="minorEastAsia"/>
          <w:i/>
          <w:color w:val="000000"/>
          <w:sz w:val="24"/>
          <w:szCs w:val="24"/>
        </w:rPr>
        <w:t xml:space="preserve"> de 6/3/2019). 5. Na decisão proferida no citado recurso extraordinário, foi registrado que, em 30/8/2018, no julgamento da </w:t>
      </w:r>
      <w:r w:rsidRPr="00472851">
        <w:rPr>
          <w:rFonts w:eastAsiaTheme="minorEastAsia"/>
          <w:i/>
          <w:color w:val="000000"/>
          <w:sz w:val="24"/>
          <w:szCs w:val="24"/>
        </w:rPr>
        <w:lastRenderedPageBreak/>
        <w:t xml:space="preserve">ADPF 324 e do RE 958.252 (Tema nº 725 da Tabela de Repercussão Geral), o Supremo Tribunal Federal decidiu pela inconstitucionalidade da Súmula nº 331 do TST e fixou a seguinte tese: “É lícita a terceirização de toda e qualquer atividade, meio ou fim, não se configurando relação de emprego entre a contratante e o empregado da contratada” (sessão de julgamento do ARE-791.932-DF  realizada em 11/10/2018). 6. A maioria dos ministros da Suprema Corte, com fundamento no artigo 949 do CPC, decidiu não devolver os autos ao Tribunal Superior do Trabalho, que “não pode mais analisar se aplica ou não o 331 em relação ao artigo 94, II, porque nós já declaramos inconstitucional essa possibilidade”, e dar provimento ao recurso extraordinário para restabelecer sentença pela qual se “afastou a existência de vínculo empregatício entre operadora de telefonia e atendente de empresa terceirizada especializada nesse segmento que lhe prestava serviços de </w:t>
      </w:r>
      <w:proofErr w:type="spellStart"/>
      <w:r w:rsidRPr="00472851">
        <w:rPr>
          <w:rFonts w:eastAsiaTheme="minorEastAsia"/>
          <w:i/>
          <w:color w:val="000000"/>
          <w:sz w:val="24"/>
          <w:szCs w:val="24"/>
        </w:rPr>
        <w:t>call</w:t>
      </w:r>
      <w:proofErr w:type="spellEnd"/>
      <w:r w:rsidRPr="00472851">
        <w:rPr>
          <w:rFonts w:eastAsiaTheme="minorEastAsia"/>
          <w:i/>
          <w:color w:val="000000"/>
          <w:sz w:val="24"/>
          <w:szCs w:val="24"/>
        </w:rPr>
        <w:t xml:space="preserve"> center”. 7. Esta Corte passou a adotar essa decisão vinculante, conforme acórdão proferido pela SbDI-1, nos autos do E-ED-RR-32900-51.2005.5.03.0002, </w:t>
      </w:r>
      <w:proofErr w:type="spellStart"/>
      <w:r w:rsidRPr="00472851">
        <w:rPr>
          <w:rFonts w:eastAsiaTheme="minorEastAsia"/>
          <w:i/>
          <w:color w:val="000000"/>
          <w:sz w:val="24"/>
          <w:szCs w:val="24"/>
        </w:rPr>
        <w:t>DJe</w:t>
      </w:r>
      <w:proofErr w:type="spellEnd"/>
      <w:r w:rsidRPr="00472851">
        <w:rPr>
          <w:rFonts w:eastAsiaTheme="minorEastAsia"/>
          <w:i/>
          <w:color w:val="000000"/>
          <w:sz w:val="24"/>
          <w:szCs w:val="24"/>
        </w:rPr>
        <w:t xml:space="preserve"> 11/10/2019. Contudo, o Exmo. Ministro Luiz Philippe Vieira de Mello Filho, relator, destacou, naquela ocasião, que “a terceirização irrestrita das atividades das empresas de telecomunicação, sejam elas inerentes (essenciais/finalísticas), acessórias ou complementares ao serviço”, autorizada pelo artigo 94, II, da Lei nº 9.472/97, nos termos do acórdão proferido nos autos do processo nº ARE-791.932-DF, não impede “o reconhecimento do vínculo empregatício com a tomadora dos serviços, quando estiver nitidamente comprovada nos autos a presença dos requisitos do art. 3º da CLT, configurando desvirtuamento da terceirização de forma a disfarçar a existência de inequívoca relação de emprego com a tomadora”. 8. De fato, a intermediação de mão de obra, utilizada para burlar direitos do trabalhador, que, na prática, atuava como empregado da tomadora de serviços, não afasta a responsabilidade dessa última como empregadora. Nessa circunstância específica, a observância da decisão proferida no ARE-791.932-DF, na qual houve menção à tese firmada nos julgamentos da ADPF 324 e do RE-958.252-MG (Tema 725 da Tabela de Repercussão Geral) - licitude da terceirização de qualquer atividade da tomadora de serviços -, não impede o reconhecimento de vínculo de emprego entre o trabalhador terceirizado e essa empresa, quando comprovada a incidência dos artigos 2º, 3º e 9º da CLT ao caso em apreço. 9. Frisa-se que o Supremo Tribunal Federal não determinou a aplicação do artigo 94, inciso II, da Lei nº 9.472/97 independentemente das particularidades do caso concreto, para desconsiderar a terceirização desvirtuada e a relação de emprego estabelecida com a tomadora de serviços, se comprovados esses aspectos. 10. Na hipótese dos autos, o reconhecimento do vínculo de emprego entre o reclamante e a concessionária de serviços de telecomunicações (tomadora de serviços) foi fundamentado na ilicitude da terceirização de atividade-fim dessa última e na comprovada existência dos requisitos fático-jurídicos da relação de emprego entre as citadas partes, estabelecidos pelas normas infraconstitucionais trabalhistas, ensejando também a incidência e a aplicação do disposto no artigo 9º da CLT ao caso. Isso porque, consoante premissas fáticas delineadas no acórdão regional, insuscetíveis de reexame por essa Corte superior de natureza extraordinária, nos termos da sua Súmula nº 126, a Telemar Norte Leste S.A. “contratou a segunda reclamada e esta, por sua vez, arregimentou mão de obra especializada para a prestação dos serviços àquela” e “exercia direta fiscalização dos serviços realizados pelo reclamante, embora o mesmo também recebesse ordens de representantes da North”. O Regional frisou que foi “constatado através do depoimento do preposto da empresa North a direta fiscalização dos serviços do autor pela embargante”. Por todo o exposto, mesmo considerando, em princípio, lícita a terceirização das atividades da concessionária de serviços de telecomunicações, conforme decidiu a Suprema Corte, no caso sub judice, há fundamento autônomo e independente que constitui elemento de distinção (</w:t>
      </w:r>
      <w:proofErr w:type="spellStart"/>
      <w:r w:rsidRPr="00472851">
        <w:rPr>
          <w:rFonts w:eastAsiaTheme="minorEastAsia"/>
          <w:i/>
          <w:color w:val="000000"/>
          <w:sz w:val="24"/>
          <w:szCs w:val="24"/>
        </w:rPr>
        <w:t>distinguishing</w:t>
      </w:r>
      <w:proofErr w:type="spellEnd"/>
      <w:r w:rsidRPr="00472851">
        <w:rPr>
          <w:rFonts w:eastAsiaTheme="minorEastAsia"/>
          <w:i/>
          <w:color w:val="000000"/>
          <w:sz w:val="24"/>
          <w:szCs w:val="24"/>
        </w:rPr>
        <w:t xml:space="preserve">) para manter o vínculo de emprego entre o reclamante e a Brasil Telecom S.A. (artigos 2º, 3º e 9º da CLT). Desse modo, constata-se que a questão sub judice não enseja a aplicação da </w:t>
      </w:r>
      <w:proofErr w:type="spellStart"/>
      <w:r w:rsidRPr="00472851">
        <w:rPr>
          <w:rFonts w:eastAsiaTheme="minorEastAsia"/>
          <w:i/>
          <w:color w:val="000000"/>
          <w:sz w:val="24"/>
          <w:szCs w:val="24"/>
        </w:rPr>
        <w:t>ratio</w:t>
      </w:r>
      <w:proofErr w:type="spellEnd"/>
      <w:r w:rsidRPr="00472851">
        <w:rPr>
          <w:rFonts w:eastAsiaTheme="minorEastAsia"/>
          <w:i/>
          <w:color w:val="000000"/>
          <w:sz w:val="24"/>
          <w:szCs w:val="24"/>
        </w:rPr>
        <w:t xml:space="preserve"> </w:t>
      </w:r>
      <w:proofErr w:type="spellStart"/>
      <w:r w:rsidRPr="00472851">
        <w:rPr>
          <w:rFonts w:eastAsiaTheme="minorEastAsia"/>
          <w:i/>
          <w:color w:val="000000"/>
          <w:sz w:val="24"/>
          <w:szCs w:val="24"/>
        </w:rPr>
        <w:t>decidendi</w:t>
      </w:r>
      <w:proofErr w:type="spellEnd"/>
      <w:r w:rsidRPr="00472851">
        <w:rPr>
          <w:rFonts w:eastAsiaTheme="minorEastAsia"/>
          <w:i/>
          <w:color w:val="000000"/>
          <w:sz w:val="24"/>
          <w:szCs w:val="24"/>
        </w:rPr>
        <w:t xml:space="preserve"> da controvérsia constitucional decidida pelo Supremo Tribunal Federal, em caráter vinculante, motivo pelo qual a Segunda Turma não exerce o Juízo de retratação previsto no artigo 1.030, inciso II, do CPC, mantendo seu acórdão, e determina o retorno dos autos à Vice-Presidência desta Corte para </w:t>
      </w:r>
      <w:r w:rsidRPr="00472851">
        <w:rPr>
          <w:rFonts w:eastAsiaTheme="minorEastAsia"/>
          <w:i/>
          <w:color w:val="000000"/>
          <w:sz w:val="24"/>
          <w:szCs w:val="24"/>
        </w:rPr>
        <w:lastRenderedPageBreak/>
        <w:t>prosseguimento do feito, como entender de direito</w:t>
      </w:r>
      <w:r w:rsidRPr="00472851">
        <w:rPr>
          <w:rFonts w:eastAsiaTheme="minorEastAsia"/>
          <w:color w:val="000000"/>
          <w:sz w:val="24"/>
          <w:szCs w:val="24"/>
        </w:rPr>
        <w:t>.” (</w:t>
      </w:r>
      <w:hyperlink r:id="rId13" w:history="1">
        <w:r w:rsidRPr="00472851">
          <w:rPr>
            <w:rStyle w:val="Hyperlink"/>
            <w:sz w:val="24"/>
            <w:szCs w:val="24"/>
          </w:rPr>
          <w:t>TST-ARR-126700-53.2009.5.06.0021</w:t>
        </w:r>
      </w:hyperlink>
      <w:r w:rsidRPr="00472851">
        <w:rPr>
          <w:rFonts w:eastAsiaTheme="minorEastAsia"/>
          <w:color w:val="000000"/>
          <w:sz w:val="24"/>
          <w:szCs w:val="24"/>
        </w:rPr>
        <w:t>, 2ª Turma, rel. Min. José Roberto Freire Pimenta, julgado em 20/5/20.)</w:t>
      </w:r>
    </w:p>
    <w:p w14:paraId="654F3389" w14:textId="77777777" w:rsidR="00472851" w:rsidRPr="00472851" w:rsidRDefault="00472851" w:rsidP="00472851">
      <w:pPr>
        <w:jc w:val="both"/>
        <w:outlineLvl w:val="0"/>
        <w:rPr>
          <w:rFonts w:eastAsiaTheme="minorEastAsia"/>
          <w:b/>
          <w:i/>
          <w:color w:val="000000"/>
        </w:rPr>
      </w:pPr>
    </w:p>
    <w:p w14:paraId="654F338A" w14:textId="77777777" w:rsidR="00472851" w:rsidRPr="00472851" w:rsidRDefault="00472851" w:rsidP="00472851">
      <w:pPr>
        <w:jc w:val="both"/>
        <w:outlineLvl w:val="0"/>
        <w:rPr>
          <w:rFonts w:eastAsiaTheme="minorEastAsia"/>
          <w:i/>
          <w:color w:val="000000"/>
          <w:sz w:val="24"/>
          <w:szCs w:val="24"/>
        </w:rPr>
      </w:pPr>
      <w:r w:rsidRPr="00472851">
        <w:rPr>
          <w:rFonts w:eastAsiaTheme="minorEastAsia"/>
          <w:i/>
          <w:color w:val="000000"/>
          <w:sz w:val="24"/>
          <w:szCs w:val="24"/>
        </w:rPr>
        <w:t>“</w:t>
      </w:r>
      <w:r w:rsidRPr="00472851">
        <w:rPr>
          <w:rFonts w:eastAsiaTheme="minorEastAsia"/>
          <w:color w:val="000000"/>
          <w:sz w:val="24"/>
          <w:szCs w:val="24"/>
        </w:rPr>
        <w:t>[...]</w:t>
      </w:r>
      <w:r w:rsidRPr="00472851">
        <w:rPr>
          <w:rFonts w:eastAsiaTheme="minorEastAsia"/>
          <w:i/>
          <w:color w:val="000000"/>
          <w:sz w:val="24"/>
          <w:szCs w:val="24"/>
        </w:rPr>
        <w:t xml:space="preserve"> II – RECURSO DE REVISTA REGIDO PELA LEI 13.015/2014. 1 - CSN SUPRESSÃO DO PLANO DE SAÚDE DE EMPREGADO APOSENTADO E POSTERIORMENTE DISPENSADO. PREVISÃO EM EDITAL DE PRIVATIZAÇÃO DA EMPRESA. DIREITO ADQUIRIDO. Há nesta Corte o entendimento de que a norma contida no edital de privatização da reclamada incluiu os aposentados sem nenhuma ressalva quanto à modalidade de aposentadoria, assegurando, aos empregados ativos à época da desestatização, direitos e benefícios sociais que não podem ser suprimidos no momento em que vierem a se aposentar, por se tratar de circunstância que se incorporou ao contrato de trabalho do empregado, ativo à época da privatização. Ocorre que a única afirmação feita pela Corte colegiada a respeito do edital de privatização - que garante ao trabalhador aposentado o direito à permanência no plano de saúde empresarial -, foi no sentido de afastar essa tese, ao consignar que o benefício a que se refere a cláusula invocada pelo reclamante trata apenas dos trabalhadores que já tinham se aposentado à época da privatização da empresa. Diante da constatação de que a assistência médico-hospitalar beneficia a todos os empregados que estavam na ativa no momento da privatização da empresa, estendendo-se aos aposentados - não somente aos que já estavam na inatividade, como também aos que viriam a se aposentar no futuro -, tal benesse incorporou-se ao contrato de trabalho do reclamante. Nesse contexto, eventual aposentadoria e posterior dispensa imotivada do empregado não lhe retira o direito de continuar usufruindo de plano de saúde do qual se valeu durante todo o pacto laboral. Como a norma prevista no edital de privatização garantiu a manutenção dos benefícios aos empregados que viessem a se aposentar, a supressão do plano de saúde usufruído pelo reclamante, esposa e dependentes violou direito adquirido do obreiro, contrariando o teor do item I da Súmula 51 do TST. Precedentes. Recurso de revista conhecido e provido. 2 - INDENIZAÇÃO POR DANOS MORAIS. SUPRESSÃO INDEVIDA DE PLANO DE SAÚDE INCORPORADO AO CONTRATO DE TRABALHO. Esta Corte possui o entendimento de que, reconhecida a supressão indevida do plano de saúde a empregado aposentado por invalidez, presume-se o abalo moral a ensejar direito à indenização por danos morais. Considerando-se que a manutenção do plano de saúde do empregado aposentado da CSN independe da modalidade da aposentadoria e de posterior dispensa imotivada do trabalhador - quando comprovado que no momento da publicação do edital de privatização o obreiro era empregado ativo da empresa -, resta configurado o dano moral sofrido pelo autor ao ter seu benefício médico-hospitalar suprimido. Em decorrência, condeno a reclamada ao pagamento de indenização por danos morais, no valor de R$ 10.000,00 (dez mil reais), a ser acrescido de correção monetária a partir desta decisão e de juros de mora a partir do ajuizamento da ação (Súmula 439 do TST). Precedentes. Recurso de revista conhecido e provido.” </w:t>
      </w:r>
      <w:r w:rsidRPr="00472851">
        <w:rPr>
          <w:rFonts w:eastAsiaTheme="minorEastAsia"/>
          <w:color w:val="000000"/>
          <w:sz w:val="24"/>
          <w:szCs w:val="24"/>
        </w:rPr>
        <w:t>(</w:t>
      </w:r>
      <w:hyperlink r:id="rId14" w:history="1">
        <w:r w:rsidRPr="00472851">
          <w:rPr>
            <w:rStyle w:val="Hyperlink"/>
            <w:sz w:val="24"/>
            <w:szCs w:val="24"/>
          </w:rPr>
          <w:t>TST-RR-100154-62.2016.5.01.0341</w:t>
        </w:r>
      </w:hyperlink>
      <w:r w:rsidRPr="00FF709F">
        <w:rPr>
          <w:rStyle w:val="Hyperlink"/>
          <w:color w:val="auto"/>
          <w:sz w:val="24"/>
          <w:szCs w:val="24"/>
          <w:u w:val="none"/>
        </w:rPr>
        <w:t xml:space="preserve">, </w:t>
      </w:r>
      <w:r w:rsidRPr="00472851">
        <w:rPr>
          <w:rFonts w:eastAsiaTheme="minorEastAsia"/>
          <w:color w:val="000000"/>
          <w:sz w:val="24"/>
          <w:szCs w:val="24"/>
        </w:rPr>
        <w:t xml:space="preserve">2ª Turma, rel. Min. </w:t>
      </w:r>
      <w:proofErr w:type="spellStart"/>
      <w:r w:rsidRPr="00472851">
        <w:rPr>
          <w:rFonts w:eastAsiaTheme="minorEastAsia"/>
          <w:color w:val="000000"/>
          <w:sz w:val="24"/>
          <w:szCs w:val="24"/>
        </w:rPr>
        <w:t>Delaíde</w:t>
      </w:r>
      <w:proofErr w:type="spellEnd"/>
      <w:r w:rsidRPr="00472851">
        <w:rPr>
          <w:rFonts w:eastAsiaTheme="minorEastAsia"/>
          <w:color w:val="000000"/>
          <w:sz w:val="24"/>
          <w:szCs w:val="24"/>
        </w:rPr>
        <w:t xml:space="preserve"> Miranda Arantes, julgado em 27/5/2020.)</w:t>
      </w:r>
    </w:p>
    <w:p w14:paraId="654F338B" w14:textId="77777777" w:rsidR="00472851" w:rsidRPr="00472851" w:rsidRDefault="00472851" w:rsidP="00472851">
      <w:pPr>
        <w:jc w:val="both"/>
        <w:outlineLvl w:val="0"/>
        <w:rPr>
          <w:rFonts w:eastAsiaTheme="minorEastAsia"/>
          <w:b/>
          <w:i/>
          <w:color w:val="000000"/>
        </w:rPr>
      </w:pPr>
    </w:p>
    <w:p w14:paraId="654F338C" w14:textId="77777777" w:rsidR="00472851" w:rsidRPr="00472851" w:rsidRDefault="00472851" w:rsidP="00472851">
      <w:pPr>
        <w:jc w:val="both"/>
        <w:outlineLvl w:val="0"/>
        <w:rPr>
          <w:rFonts w:eastAsiaTheme="minorHAnsi"/>
          <w:sz w:val="24"/>
          <w:szCs w:val="24"/>
          <w:lang w:eastAsia="en-US"/>
        </w:rPr>
      </w:pPr>
      <w:r w:rsidRPr="00472851">
        <w:rPr>
          <w:i/>
          <w:sz w:val="24"/>
          <w:szCs w:val="24"/>
        </w:rPr>
        <w:t>“</w:t>
      </w:r>
      <w:r w:rsidRPr="00472851">
        <w:rPr>
          <w:sz w:val="24"/>
          <w:szCs w:val="24"/>
        </w:rPr>
        <w:t>[...]</w:t>
      </w:r>
      <w:r w:rsidRPr="00472851">
        <w:rPr>
          <w:i/>
          <w:sz w:val="24"/>
          <w:szCs w:val="24"/>
        </w:rPr>
        <w:t xml:space="preserve"> II. RECURSO DE REVISTA REGIDO PELAS LEIS 13.015/2014 E 13.467/2017. ARTIGO 896-A, II, DA CLT. PROCESSO DE JURISDIÇÃO VOLUNTÁRIA. HOMOLOGAÇÃO DE ACORDO EXTRAJUDICIAL. QUITAÇÃO. ALCANCE. ARTS. 855-B AO 855-E DA CLT. TRANSCENDÊNCIA JURÍDICA CARACTERIZADA. 1. De acordo com o artigo 896-A da CLT, o Tribunal Superior do Trabalho, no recurso de revista, deve examinar previamente se a causa oferece transcendência com relação aos reflexos gerais de natureza econômica, política, social ou jurídica. 2. Discute-se nos presentes autos a validade e o alcance da quitação estabelecida em acordo extrajudicial, submetido à homologação judicial com fundamento nos artigos 855-B ao 855-E da CLT, incluídos pela Lei 13.0467/2017. O novo procedimento legal revela a intenção do legislador de conferir segurança jurídica aos atos de rescisão de contratos de trabalho, conferindo celeridade ao procedimento (</w:t>
      </w:r>
      <w:proofErr w:type="spellStart"/>
      <w:r w:rsidRPr="00472851">
        <w:rPr>
          <w:i/>
          <w:sz w:val="24"/>
          <w:szCs w:val="24"/>
        </w:rPr>
        <w:t>arts</w:t>
      </w:r>
      <w:proofErr w:type="spellEnd"/>
      <w:r w:rsidRPr="00472851">
        <w:rPr>
          <w:i/>
          <w:sz w:val="24"/>
          <w:szCs w:val="24"/>
        </w:rPr>
        <w:t xml:space="preserve">. 855-C e 855-D) e evitando dúvidas ulteriores e novos litígios trabalhistas. Com esse propósito, o artigo 855-B, §§ 1º e 2º, da CLT exige a apresentação de petição conjunta, devendo os interessados estar representadas por advogados distintos, facultada </w:t>
      </w:r>
      <w:r w:rsidRPr="00472851">
        <w:rPr>
          <w:i/>
          <w:sz w:val="24"/>
          <w:szCs w:val="24"/>
        </w:rPr>
        <w:lastRenderedPageBreak/>
        <w:t xml:space="preserve">ao trabalhador a assistência por advogado do sindicato de sua categoria. Evidentemente, podem os interessados transatores ressalvar direitos que entendam devam ser excluídos da transação, entre os quais, por exemplo, eventuais efeitos patrimoniais decorrentes de moléstia profissional identificada posteriormente e que guarde relação causal com o trabalho exercido (Súmula 378, II, do TST). No entanto, inexistindo qualquer ressalva, observados os requisitos legais (CC, art. 104) e não havendo vício capaz de anular o negócio jurídico (CC, </w:t>
      </w:r>
      <w:proofErr w:type="spellStart"/>
      <w:r w:rsidRPr="00472851">
        <w:rPr>
          <w:i/>
          <w:sz w:val="24"/>
          <w:szCs w:val="24"/>
        </w:rPr>
        <w:t>arts</w:t>
      </w:r>
      <w:proofErr w:type="spellEnd"/>
      <w:r w:rsidRPr="00472851">
        <w:rPr>
          <w:i/>
          <w:sz w:val="24"/>
          <w:szCs w:val="24"/>
        </w:rPr>
        <w:t xml:space="preserve">. 138 a 166), segundo a análise judicial que se pode processar inclusive com a designação de audiência específica (CLT, art. 855-D), a transação há de ser homologada nos exatos termos em que celebrada, não competindo à Justiça do Trabalho inserir, de ofício, condição não desejada pelos próprios interessados e que se situa no âmbito exclusivo da autonomia da vontade - expressão do valor dignidade humana no campo da teoria geral dos contratos (CF, art. 1º, III c/c os </w:t>
      </w:r>
      <w:proofErr w:type="spellStart"/>
      <w:r w:rsidRPr="00472851">
        <w:rPr>
          <w:i/>
          <w:sz w:val="24"/>
          <w:szCs w:val="24"/>
        </w:rPr>
        <w:t>arts</w:t>
      </w:r>
      <w:proofErr w:type="spellEnd"/>
      <w:r w:rsidRPr="00472851">
        <w:rPr>
          <w:i/>
          <w:sz w:val="24"/>
          <w:szCs w:val="24"/>
        </w:rPr>
        <w:t xml:space="preserve">. 840 a 850 do CC). De fato, em se tratando de direitos patrimoniais disponíveis, não há espaço para que o Poder Judiciário examine o conteúdo da transação, a razoabilidade ou proporcionalidade dos direitos e deveres transacionados ou mesmo a extensão da quitação concedida. 3. No caso presente, os interessados firmaram acordo extrajudicial, cabendo ao Reclamado pagar ‘ao ex-funcionário a importância total líquida de R$ 64.055,78, a título de indenização à eventual estabilidade do contrato de trabalho, neste valor, já incluídos os honorários advocatícios e demais despesas porventura existentes’. Consta do acordo, ademais, a manutenção da ‘assistência médica do interessado pelo período previsto em convenção coletiva, neste caso, 180 dias contados da data da rescisão’. Ainda, consigna o termo celebrado que ‘Com o recebimento da importância ajustada, o interessado dará ao Banco plena, geral e irrevogável quitação ao extinto contrato de trabalho. (...). O presente ajuste somente prevalecerá se homologado por inteiro, sem ressalva ou exclusão de qualquer cláusula.  Neste sentido, as partes requerem a homologação do presente acordo extrajudicial exatamente nos termos avençados, ocasião em que passará a produzir efeitos, inclusive como forma de serem evitadas futuras ações judiciais, uma vez que as partes se declaram totalmente satisfeitas com a composição, conforme permissão legal, para que surta os efeitos de direito, com a necessária segurança jurídica’. Outrossim, o Tribunal Regional destacou que, em audiência, ‘o ex-empregado, indagado acerca da intenção na celebração do acordo, informou desejar a homologação ciente das consequências da quitação passada’. Ora, é inequívoca a vontade dos interessados em </w:t>
      </w:r>
      <w:proofErr w:type="spellStart"/>
      <w:r w:rsidRPr="00472851">
        <w:rPr>
          <w:i/>
          <w:sz w:val="24"/>
          <w:szCs w:val="24"/>
        </w:rPr>
        <w:t>por</w:t>
      </w:r>
      <w:proofErr w:type="spellEnd"/>
      <w:r w:rsidRPr="00472851">
        <w:rPr>
          <w:i/>
          <w:sz w:val="24"/>
          <w:szCs w:val="24"/>
        </w:rPr>
        <w:t xml:space="preserve"> fim ao contrato de trabalho, dando-se plena quitação com o pagamento pelo Reclamado ao Reclamante da importância acordada. Nesse cenário, estando presentes os requisitos de validade do acordo extrajudicial firmado, mostra-se inviável ao Tribunal Regional a aposição de ressalvas ou condições que não foram estabelecidas pelos interessados, cabendo-lhe, tão somente, decidir pela homologação ou não do termo de transação, mediante decisão fundamentada (CF, art. 93, IX). 4. Divisada transcendência jurídica e caracterizado o dissenso de teses, o recurso de revista merece ser conhecido e provido para que, reconhecendo-se a validade do acordo extrajudicial firmado, declará-lo homologado sem ressalvas. Recurso de revista conhecido e provido.”</w:t>
      </w:r>
      <w:r w:rsidRPr="00472851">
        <w:rPr>
          <w:sz w:val="24"/>
          <w:szCs w:val="24"/>
        </w:rPr>
        <w:t xml:space="preserve"> (</w:t>
      </w:r>
      <w:hyperlink r:id="rId15" w:history="1">
        <w:r w:rsidRPr="00472851">
          <w:rPr>
            <w:rStyle w:val="Hyperlink"/>
            <w:sz w:val="24"/>
            <w:szCs w:val="24"/>
          </w:rPr>
          <w:t>TST-RR-596-19.2018.5.06.0015</w:t>
        </w:r>
      </w:hyperlink>
      <w:r w:rsidRPr="00472851">
        <w:rPr>
          <w:sz w:val="24"/>
          <w:szCs w:val="24"/>
        </w:rPr>
        <w:t>, 5ª Turma, rel. Min. Douglas Alencar Rodrigues, julgado em 20/5/20.)</w:t>
      </w:r>
    </w:p>
    <w:p w14:paraId="654F338D" w14:textId="77777777" w:rsidR="00472851" w:rsidRPr="00472851" w:rsidRDefault="00472851" w:rsidP="00472851">
      <w:pPr>
        <w:jc w:val="both"/>
        <w:outlineLvl w:val="0"/>
        <w:rPr>
          <w:rFonts w:eastAsiaTheme="minorEastAsia"/>
          <w:b/>
          <w:i/>
          <w:color w:val="000000"/>
        </w:rPr>
      </w:pPr>
    </w:p>
    <w:p w14:paraId="654F338E" w14:textId="77777777" w:rsidR="00472851" w:rsidRPr="00472851" w:rsidRDefault="00472851" w:rsidP="00472851">
      <w:pPr>
        <w:jc w:val="both"/>
        <w:outlineLvl w:val="0"/>
        <w:rPr>
          <w:rFonts w:eastAsiaTheme="minorEastAsia"/>
          <w:b/>
          <w:i/>
          <w:color w:val="000000"/>
          <w:sz w:val="24"/>
          <w:szCs w:val="24"/>
        </w:rPr>
      </w:pPr>
      <w:r w:rsidRPr="00472851">
        <w:rPr>
          <w:i/>
          <w:sz w:val="24"/>
          <w:szCs w:val="24"/>
        </w:rPr>
        <w:t xml:space="preserve">“AGRAVO. RECURSO DE REVISTA. ACÓRDÃO PUBLICADO NA VIGÊNCIA DA LEI Nº 13.015/2014. AÇÃO DE HABILITAÇÃO PLÚRIMA EM COISA JULGADA COLETIVA. PRESCRIÇÃO APLICÁVEL. TRANSCEDÊNCIA JURÍDICA RECONHECIDA. O e. TRT declarou que está prescrita a pretensão de executar a decisão proferida na ação coletiva que condenou o INSS ao pagamento de diferenças salariais pela incorporação do “PCCS”, em razão do fato de a presente ação de habilitação ter sido ajuizada somente em 08/02/2017, quase seis anos após a publicação da Portaria nº 51/2011 da Corregedoria do TRT da 2ª Região, em 07/12/2011, que estabeleceu a forma como deveria ser efetuada a execução. Inicialmente, em que pese a existência de julgados desta Corte sobre a aplicação da prescrição intercorrente em ação </w:t>
      </w:r>
      <w:proofErr w:type="spellStart"/>
      <w:r w:rsidRPr="00472851">
        <w:rPr>
          <w:i/>
          <w:sz w:val="24"/>
          <w:szCs w:val="24"/>
        </w:rPr>
        <w:t>plúrima</w:t>
      </w:r>
      <w:proofErr w:type="spellEnd"/>
      <w:r w:rsidRPr="00472851">
        <w:rPr>
          <w:i/>
          <w:sz w:val="24"/>
          <w:szCs w:val="24"/>
        </w:rPr>
        <w:t>, consoante destacado na decisão agravada, o fato é que tais julgados não cuidam da situação específica dos autos em que se pretende examinar a aplicação ou não da prescrição em ação de habilitação individual (</w:t>
      </w:r>
      <w:proofErr w:type="spellStart"/>
      <w:r w:rsidRPr="00472851">
        <w:rPr>
          <w:i/>
          <w:sz w:val="24"/>
          <w:szCs w:val="24"/>
        </w:rPr>
        <w:t>plúrima</w:t>
      </w:r>
      <w:proofErr w:type="spellEnd"/>
      <w:r w:rsidRPr="00472851">
        <w:rPr>
          <w:i/>
          <w:sz w:val="24"/>
          <w:szCs w:val="24"/>
        </w:rPr>
        <w:t xml:space="preserve">) na execução de coisa julgada em ação coletiva. Diante dessa distinção, </w:t>
      </w:r>
      <w:r w:rsidRPr="00472851">
        <w:rPr>
          <w:i/>
          <w:sz w:val="24"/>
          <w:szCs w:val="24"/>
        </w:rPr>
        <w:lastRenderedPageBreak/>
        <w:t xml:space="preserve">verifica-se a existência de transcendência jurídica da matéria em discussão. Isso porque não se cuida a hipótese dos autos da incidência da denominada prescrição intercorrente, na forma da Súmula n.º 114 desta Corte, que restou, frise-se, superada com a vigência da Lei n.º 13.467/2017. Dito isso, antes de adentrar na discussão central dos autos, faz-se necessário tecer alguns apontamentos sobre o direito coletivo. O direito coletivo possui fundamento na Constituição Federal de 1988, na Lei de Ação Popular e foi materializado por meio da Lei de Ação Civil Pública e pelo Código de Defesa do Consumidor. A Constituição Federal dispõe no art. 5.º, XXXII, que “o Estado promoverá, na forma da lei, a defesa do consumidor”. Nesse sentido foi criado o Código de Defesa do Consumidor com a edição da Lei n.º 8.078/90. É no CDC que se encontra o regramento mais contundente no âmbito do direito coletivo. Nesse sentido, oportuno citar alguns dispositivos, quais sejam, os </w:t>
      </w:r>
      <w:proofErr w:type="spellStart"/>
      <w:r w:rsidRPr="00472851">
        <w:rPr>
          <w:i/>
          <w:sz w:val="24"/>
          <w:szCs w:val="24"/>
        </w:rPr>
        <w:t>arts</w:t>
      </w:r>
      <w:proofErr w:type="spellEnd"/>
      <w:r w:rsidRPr="00472851">
        <w:rPr>
          <w:i/>
          <w:sz w:val="24"/>
          <w:szCs w:val="24"/>
        </w:rPr>
        <w:t xml:space="preserve">. 81, 82, III, 94, 100, 103, § 2.º, e 104. Dos dispositivos acima, conclui-se que ação coletiva, em que se busca a defesa de direitos individuais homogêneos, encontra-se sujeito ao rito próprio, não somente em relação à coisa julgada, como também no que toca à legitimidade e seus efeitos na litispendência. Isso porque a propositura de ação por um dos legitimados não implica em litispendência no tocante as ações individuais, mas os efeitos da coisa julgada coletiva poderão, caso queiram, alcançar os trabalhadores interessados, na hipótese de procedência do pedido. Ficam ressalvados apenas aqueles interessados que eventualmente tenham ingressado como litisconsortes em atendimento ao edital disciplinado no art. 94 do CDC, nesse caso, há litispendência. Quanto à execução das sentenças sobre direitos individuais homogêneos, o Código de Defesa do Consumidor disciplina que transcorridos um ano sem habilitação de interessados em quantidade compatível com a dimensão do dano, os legitimados poderão promover a liquidação e a execução da indenização devida. Se for julgado procedente o pedido deduzido, nos casos em que os interessados não tenham ingressado como litisconsorte, a execução poderá ser processada individualmente por aquele que se intitula titular do direito coletivo reconhecido, ou melhor, da coisa julgada coletiva, seja por habilitação na coisa julgada coletiva, seja com a propositura de execução individual autônoma com base na coisa julgada coletiva. Nesse contexto, a coisa julgada coletiva tem regramento próprio, restando evidente que deve observar a critérios prescricionais fixados nas normas jurídicas. Nos termos dos </w:t>
      </w:r>
      <w:proofErr w:type="spellStart"/>
      <w:r w:rsidRPr="00472851">
        <w:rPr>
          <w:i/>
          <w:sz w:val="24"/>
          <w:szCs w:val="24"/>
        </w:rPr>
        <w:t>arts</w:t>
      </w:r>
      <w:proofErr w:type="spellEnd"/>
      <w:r w:rsidRPr="00472851">
        <w:rPr>
          <w:i/>
          <w:sz w:val="24"/>
          <w:szCs w:val="24"/>
        </w:rPr>
        <w:t>. 880 e 844, § 1.º, da CLT, ao passo que a citação informa a existência de uma demanda judicial ao suposto devedor, o ordenamento jurídico também permite a arguição da prescrição, que, saliente-se, representa, a teor do art. 189 do CC, a perda do direito de provocar o Estado Juiz para defesa direito ou interesse lesado. Como efeito, trata-se a presente lide de pretensão executiva de condenação imposta à Fazenda Pública, de modo que se aplica o critério prescricional de 5 anos previsto no art. 1.º do Decreto 20.910/32. Desse modo, encontra-se prescrita a ação de habilitação individual (</w:t>
      </w:r>
      <w:proofErr w:type="spellStart"/>
      <w:r w:rsidRPr="00472851">
        <w:rPr>
          <w:i/>
          <w:sz w:val="24"/>
          <w:szCs w:val="24"/>
        </w:rPr>
        <w:t>plúrima</w:t>
      </w:r>
      <w:proofErr w:type="spellEnd"/>
      <w:r w:rsidRPr="00472851">
        <w:rPr>
          <w:i/>
          <w:sz w:val="24"/>
          <w:szCs w:val="24"/>
        </w:rPr>
        <w:t>) em coisa julgada coletiva proposta em 08/02/2017, seja porque o trânsito em julgado da ação coletiva ocorreu 29/05/2007, seja considerando a publicação da Portaria nº 51/2011 da Corregedoria do TRT da 2ª Região, em 07/12/2011. Agravo provido</w:t>
      </w:r>
      <w:r w:rsidRPr="00472851">
        <w:rPr>
          <w:b/>
          <w:kern w:val="2"/>
          <w:sz w:val="24"/>
          <w:szCs w:val="24"/>
        </w:rPr>
        <w:t>.</w:t>
      </w:r>
      <w:r w:rsidRPr="00472851">
        <w:rPr>
          <w:i/>
          <w:sz w:val="24"/>
          <w:szCs w:val="24"/>
        </w:rPr>
        <w:t>”</w:t>
      </w:r>
      <w:r w:rsidRPr="00472851">
        <w:rPr>
          <w:sz w:val="24"/>
          <w:szCs w:val="24"/>
        </w:rPr>
        <w:t xml:space="preserve"> (</w:t>
      </w:r>
      <w:hyperlink r:id="rId16" w:history="1">
        <w:r w:rsidRPr="00472851">
          <w:rPr>
            <w:rStyle w:val="Hyperlink"/>
            <w:sz w:val="24"/>
            <w:szCs w:val="24"/>
          </w:rPr>
          <w:t>TST-Ag-RR-9-71.2017.5.02.0070</w:t>
        </w:r>
      </w:hyperlink>
      <w:r w:rsidRPr="00472851">
        <w:rPr>
          <w:sz w:val="24"/>
          <w:szCs w:val="24"/>
        </w:rPr>
        <w:t>, 5ª Turma, rel. Min. Breno Medeiros, julgado em 27/5/20.)</w:t>
      </w:r>
    </w:p>
    <w:p w14:paraId="654F338F" w14:textId="77777777" w:rsidR="00472851" w:rsidRPr="00472851" w:rsidRDefault="00472851" w:rsidP="00472851">
      <w:pPr>
        <w:jc w:val="both"/>
        <w:outlineLvl w:val="0"/>
        <w:rPr>
          <w:rFonts w:eastAsiaTheme="minorEastAsia"/>
          <w:b/>
          <w:i/>
          <w:color w:val="000000"/>
        </w:rPr>
      </w:pPr>
    </w:p>
    <w:p w14:paraId="654F3390" w14:textId="77777777" w:rsidR="00472851" w:rsidRPr="00472851" w:rsidRDefault="00472851" w:rsidP="00472851">
      <w:pPr>
        <w:jc w:val="both"/>
        <w:outlineLvl w:val="0"/>
        <w:rPr>
          <w:i/>
          <w:sz w:val="24"/>
          <w:szCs w:val="24"/>
          <w:lang w:eastAsia="en-US"/>
        </w:rPr>
      </w:pPr>
      <w:r w:rsidRPr="00472851">
        <w:rPr>
          <w:i/>
          <w:sz w:val="24"/>
          <w:szCs w:val="24"/>
        </w:rPr>
        <w:t xml:space="preserve">“RECURSO DE REVISTA. LEI Nº 13.015/2014. CPC/2015. INSTRUÇÃO NORMATIVA Nº 40 DO TST. ESTABILIDADE PROVISÓRIA. EMPREGADO DIRIGENTE DE COOPERATIVA DE CONSUMO. AUSÊNCIA DE CONFLITO ENTRE O OBJETO SOCIAL DA COOPERATIVA E A ATIVIDADE PRINCIPAL DO EMPREGADOR. AUSÊNCIA DE CONFRONTO COM O EMPREGADOR NA LIVRE PERSECUÇÃO DOS FINS SOCIAIS DA COOPERATIVA. INCABÍVEL O USUFRUTO DA BENESSE DA ESTABILIDADE AOS DIRIGENTES DE COOPERATIVA DE CONSUMO. A garantia concedida ao empregado eleito diretor de cooperativa criada pelos próprios empregados tem por escopo resguardar o emprego do dirigente, a fim de permitir a livre persecução dos fins sociais da cooperativa, previstos no artigo 4º da Lei n.º 5.764/71, sem qualquer pressão por parte da empresa ou de seus prepostos. A proteção legal ao dirigente visa a assegurar o empregado que defende a coletividade, muitas vezes em nítido confronto com o empregador, evitando, assim, a interferência nas decisões e na luta dos interesses coletivos. Logo, a garantia prevista no artigo 55 da Lei do Cooperativismo visa à devida proteção </w:t>
      </w:r>
      <w:r w:rsidRPr="00472851">
        <w:rPr>
          <w:i/>
          <w:sz w:val="24"/>
          <w:szCs w:val="24"/>
        </w:rPr>
        <w:lastRenderedPageBreak/>
        <w:t>daqueles que, por ocuparem posições de poder e tomada de decisão nessas sociedades, acabam se expondo aos empregadores, por vezes, como resultado da defesa dos interesses da categoria econômica ou classe de empregados. Nesse contexto, se o objeto social da cooperativa não conflita com a atividade principal do empregador, ou seja, se a cooperativa não possui interação ou conflito com os empregadores ou seus diretores, não há embasamento para o usufruto de benesse da estabilidade aos dirigentes de cooperativa de consumo. De mais a mais, o artigo 3º da referida lei é expresso no sentido de que, embora exerça atividade econômica, as cooperativas não visam lucro. No caso concreto, a cooperativa, apesar de não possuir tal objetivo, tem por finalidade a aquisição de gêneros de consumo visando o repasse aos cooperados, em melhores condições de qualidade e preço, ou seja, por meio do cooperativismo possibilita que seus membros possam adquirir, em uma sociedade de consumo de massa, produtos de maior qualidade e de maneira menos onerosa, com um poder maior de negociação. Não se tratando, portanto, de uma cooperativa de empregados, não pode gerar a estabilidade para seus diretores. Recurso de revista conhecido e provido.”</w:t>
      </w:r>
      <w:r w:rsidRPr="00472851">
        <w:rPr>
          <w:sz w:val="24"/>
          <w:szCs w:val="24"/>
        </w:rPr>
        <w:t xml:space="preserve"> (</w:t>
      </w:r>
      <w:hyperlink r:id="rId17" w:history="1">
        <w:r w:rsidR="00FF709F">
          <w:rPr>
            <w:rStyle w:val="Hyperlink"/>
            <w:sz w:val="24"/>
            <w:szCs w:val="24"/>
          </w:rPr>
          <w:t>TST-RR-</w:t>
        </w:r>
        <w:r w:rsidRPr="00472851">
          <w:rPr>
            <w:rStyle w:val="Hyperlink"/>
            <w:sz w:val="24"/>
            <w:szCs w:val="24"/>
          </w:rPr>
          <w:t>1721-39.2015.5.17.0009</w:t>
        </w:r>
      </w:hyperlink>
      <w:r w:rsidRPr="00472851">
        <w:rPr>
          <w:sz w:val="24"/>
          <w:szCs w:val="24"/>
        </w:rPr>
        <w:t xml:space="preserve">, 7ª Turma, rel. Min. Cláudio Mascarenhas Brandão, julgado em 20/5/2020.) </w:t>
      </w:r>
    </w:p>
    <w:p w14:paraId="654F3391" w14:textId="77777777" w:rsidR="00472851" w:rsidRPr="00472851" w:rsidRDefault="00472851" w:rsidP="00472851">
      <w:pPr>
        <w:pStyle w:val="Ementa"/>
        <w:ind w:left="0"/>
        <w:outlineLvl w:val="0"/>
        <w:rPr>
          <w:rFonts w:ascii="Times New Roman" w:eastAsiaTheme="minorEastAsia" w:hAnsi="Times New Roman" w:cs="Times New Roman"/>
          <w:i/>
          <w:sz w:val="20"/>
          <w:szCs w:val="20"/>
          <w:lang w:val="pt-BR"/>
        </w:rPr>
      </w:pPr>
    </w:p>
    <w:p w14:paraId="654F3392" w14:textId="77777777" w:rsidR="00472851" w:rsidRPr="00472851" w:rsidRDefault="00472851" w:rsidP="00472851">
      <w:pPr>
        <w:jc w:val="both"/>
        <w:outlineLvl w:val="0"/>
        <w:rPr>
          <w:sz w:val="24"/>
          <w:szCs w:val="24"/>
        </w:rPr>
      </w:pPr>
      <w:r w:rsidRPr="00472851">
        <w:rPr>
          <w:i/>
          <w:sz w:val="24"/>
          <w:szCs w:val="24"/>
        </w:rPr>
        <w:t>“</w:t>
      </w:r>
      <w:r w:rsidRPr="00472851">
        <w:rPr>
          <w:sz w:val="24"/>
          <w:szCs w:val="24"/>
        </w:rPr>
        <w:t xml:space="preserve">[...] </w:t>
      </w:r>
      <w:r w:rsidRPr="00472851">
        <w:rPr>
          <w:i/>
          <w:sz w:val="24"/>
          <w:szCs w:val="24"/>
        </w:rPr>
        <w:t>RECURSO DE REVISTA. LEI Nº 13.015/2014. CPC/2015. INSTRUÇÃO NORMATIVA Nº 40 DO TST. PERCENTUAL MÍNIMO DE CONTRATAÇÃO DE EMPREGADOS COM DEFICIÊNCIA OU REABILITADOS. COTA SOCIAL. ARTIGO 93 DA LEI Nº 8.213/91. AÇÃO AFIRMATIVA. NECESSIDADE DE CONTRATAÇÃO PARA A MESMA LOCALIDADE OU CARGO/FUNÇÃO. A exigência prevista no artigo 93 da lei nº 8.213/91 traduz obrigação ao empregador quanto ao cumprimento das cotas mínimas reservadas a empregados reabilitados ou com deficiência. Referido dispositivo consagra verdadeira ação afirmativa em benefício de pessoas que são excluídas do mercado de trabalho e muitas vezes sem condições de provar o seu potencial, a sua adaptabilidade e a possibilidade de convivência com a rotina da empresa. Contudo, sua leitura não permite concluir que, ao tratar da necessidade de contratação de substituto de mesma condição do ex-empregado dispensado, impôs que a nova admissão fosse feita na mesma localidade ou na mesma função anteriormente ocupada. Com efeito, exige-se apenas que seja observada a cota mínima prevista em lei, mesmo porque o direito ali previsto constitui garantia social, e não individual. Nesse ponto, cumpre destacar que a jurisprudência da SBDI-1 desta Corte, inclusive, se firmou no sentido de ser indevida a reintegração, ainda que não tenha havido a contratação de substituto, se, ao tempo da dispensa, resultou mantido o percentual fixado no dispositivo em comento. Há, ainda, precedente específico daquela Subseção quanto à desnecessidade de contratação para o mesmo cargo/função. No presente caso, o Tribunal Regional determinou a reintegração do autor, mesmo tendo constatado que, à época de sua dispensa, ‘o réu observava os percentuais previstos na legislação em relação à contratação de pessoas portadoras de deficiência ou reabilitadas a nível nacional’. Diante disso, decidiu em contrariedade ao entendimento acima fixado. Decisão regional que merece reforma. Recurso de revista conhecido e provido.”</w:t>
      </w:r>
      <w:r w:rsidRPr="00472851">
        <w:rPr>
          <w:sz w:val="24"/>
          <w:szCs w:val="24"/>
        </w:rPr>
        <w:t xml:space="preserve"> (</w:t>
      </w:r>
      <w:hyperlink r:id="rId18" w:history="1">
        <w:r w:rsidRPr="00472851">
          <w:rPr>
            <w:rStyle w:val="Hyperlink"/>
            <w:sz w:val="24"/>
            <w:szCs w:val="24"/>
          </w:rPr>
          <w:t>TST-RR-11017-06.2015.5.01.0244</w:t>
        </w:r>
      </w:hyperlink>
      <w:r w:rsidRPr="00472851">
        <w:rPr>
          <w:sz w:val="24"/>
          <w:szCs w:val="24"/>
        </w:rPr>
        <w:t>, 7ª Turma, rel. Min. Cláudio Mascarenhas Brandão, julgado em 20/5/2020.)</w:t>
      </w:r>
    </w:p>
    <w:p w14:paraId="654F3393" w14:textId="77777777" w:rsidR="00472851" w:rsidRPr="00472851" w:rsidRDefault="00472851" w:rsidP="00472851">
      <w:pPr>
        <w:jc w:val="both"/>
        <w:outlineLvl w:val="0"/>
        <w:rPr>
          <w:rFonts w:eastAsiaTheme="minorEastAsia"/>
          <w:b/>
          <w:i/>
          <w:color w:val="000000"/>
        </w:rPr>
      </w:pPr>
    </w:p>
    <w:p w14:paraId="654F3394" w14:textId="77777777" w:rsidR="00472851" w:rsidRPr="00472851" w:rsidRDefault="00472851" w:rsidP="00472851">
      <w:pPr>
        <w:jc w:val="both"/>
        <w:outlineLvl w:val="0"/>
        <w:rPr>
          <w:i/>
          <w:sz w:val="24"/>
          <w:szCs w:val="24"/>
          <w:lang w:eastAsia="en-US"/>
        </w:rPr>
      </w:pPr>
      <w:r w:rsidRPr="00472851">
        <w:rPr>
          <w:i/>
          <w:sz w:val="24"/>
          <w:szCs w:val="24"/>
        </w:rPr>
        <w:t xml:space="preserve">“RECURSO DE REVISTA. ACÓRDÃO REGIONAL PUBLICADO NA VIGÊNCIA DA LEI Nº 13.467/2017. 1. CAERN. FÉRIAS. GOZO EM ÉPOCA PRÓPRIA. PAGAMENTO PARCELADO POR OPÇÃO DO EMPREGADO. TERÇO CONSTITUCIONAL E ABONO PECUNIÁRIO REGULARMENTE PAGOS. DOBRA INDEVIDA. INAPLICABILIDADE DA SÚMULA 450 DO TST. TRANSCENDÊNCIA ECONÔMICA. RECONHECIMENTO. I. A Lei 13.467/2017 acrescentou o art. 896-A à CLT, que disciplina o pressuposto intrínseco da transcendência a partir de quatro vetores taxativos, quais sejam: o econômico, o político, o social e o jurídico. Conforme posição majoritária desta Sétima Turma, no caso de recurso de revista interposto pelo empregador, a causa oferecerá transcendência econômica se o valor total dos temas devolvidos no recurso de revista ultrapassar 1000 (mil) salários mínimos, 500 (quinhentos) salários mínimos e 100 (cem) salários mínimos, para empresas de âmbito nacional, estadual ou municipal, respectivamente. No caso dos </w:t>
      </w:r>
      <w:r w:rsidRPr="00472851">
        <w:rPr>
          <w:i/>
          <w:sz w:val="24"/>
          <w:szCs w:val="24"/>
        </w:rPr>
        <w:lastRenderedPageBreak/>
        <w:t>empregadores doméstico, individual ou microempreendedor, ter-se-á como parâmetro o valor de 40 salários mínimos, previsto no art. 852-A da CLT (procedimento sumaríssimo), salvo exceções pontuais. No que se refere ao recurso de revista interposto pelo empregado objetivando afastar condenação ou penalidade imposta ao próprio trabalhador, tem-se como presente a transcendência econômica se ele estiver desempregado ou for beneficiário da justiça gratuita. Por fim, em relação ao recurso de revista interposto pela parte obreira objetivando a revisão do julgado quanto aos pedidos indeferidos, o critério objetivo para a aferição da transcendência consistirá igualmente no valor de 40 salários mínimos previsto no art. 852-A. II. No caso concreto, discute-se a repercussão jurídica do pagamento da remuneração de férias de forma parcelada por opção do próprio empregado, em hipótese na qual as férias eram concedidas na época devida e o terço constitucional de férias, o abono legal e parte da remuneração de férias eram pagos de forma adiantada (no mês anterior ao gozo das férias). Nesse contexto, considerando-se que se trata de recurso interposto pelo reclamante objetivando a revisão do julgado quanto a pedido indeferido (julgado improcedente), e que o valor dado à causa pelo autor, conforme consta da petição inicial, foi de R$ 82.795,05, conclui-se que o valor total do único tema devolvido no recurso ultrapassa 40 salários mínimos (40 x R$ 1.045,00 – valor do salário mínimo em 2020 = R$ 41.800,00). Emerge, daí, a transcendência econômica da matéria. III. De acordo com o entendimento sedimentado na Súmula 450 desta Corte Superior, “é devido o pagamento em dobro da remuneração de férias, incluído o terço constitucional, com base no art. 137 da CLT, quando, ainda que gozadas na época própria, o empregador tenha descumprido o prazo previsto no art. 145 do mesmo diploma legal”. IV. No caso vertente, todavia, existe uma peculiaridade fática, uma distinção, que não autoriza a aplicação da orientação da consagrada na referida súmula, qual seja, a opção do empregado pelo pagamento parcelado da remuneração de férias, não se tratando, pois, de opção do empregador. No particular, o Tribunal Regional constatou que a reclamada paga o terço constitucional e o abono legal no mês anterior ao gozo de férias, além de antecipar parte da remuneração do período a ser usufruído. Consignou, ainda, que o parcelamento da quitação do título decorre da opção feita pelos próprios empregados, a quem é dada a referida opção, a ser feita de forma livre por cada um deles. No caso, ainda, o reclamante gozou de suas férias nas épocas próprias. Em suma, constou expressamente da decisão do TRT a tese de que foi ‘exercida pelo empregado a opção pelo parcelamento do pagamento de férias’. Em casos como o presente, esta c. Corte Superior entende que o pagamento parcelado da remuneração das férias, quando ocorria por opção do próprio empregado, e não por imposição da empresa, não autoriza a aplicação da Súmula nº 450 do TST, que trata de hipótese diversa, referente ao pagamento das férias fora do prazo previsto na norma celetista por iniciativa do empregador. V. Recurso de revista de que não se conhece.”</w:t>
      </w:r>
      <w:r w:rsidRPr="00472851">
        <w:rPr>
          <w:sz w:val="24"/>
          <w:szCs w:val="24"/>
        </w:rPr>
        <w:t xml:space="preserve"> (</w:t>
      </w:r>
      <w:hyperlink r:id="rId19" w:history="1">
        <w:r w:rsidRPr="00472851">
          <w:rPr>
            <w:rStyle w:val="Hyperlink"/>
            <w:sz w:val="24"/>
            <w:szCs w:val="24"/>
          </w:rPr>
          <w:t>TST-RR-49-46.2019.5.21.0008</w:t>
        </w:r>
      </w:hyperlink>
      <w:r w:rsidRPr="00472851">
        <w:rPr>
          <w:sz w:val="24"/>
          <w:szCs w:val="24"/>
        </w:rPr>
        <w:t>, 7ª Turma, rel. Min. Evandro Pereira Valadão Lopes, julgado em 20/5/2020.)</w:t>
      </w:r>
    </w:p>
    <w:p w14:paraId="654F3395" w14:textId="77777777" w:rsidR="00472851" w:rsidRPr="007140F6" w:rsidRDefault="00472851" w:rsidP="00472851">
      <w:pPr>
        <w:pStyle w:val="Ementa"/>
        <w:ind w:left="0"/>
        <w:outlineLvl w:val="0"/>
        <w:rPr>
          <w:rFonts w:ascii="Times New Roman" w:eastAsiaTheme="minorEastAsia" w:hAnsi="Times New Roman" w:cs="Times New Roman"/>
          <w:i/>
          <w:sz w:val="20"/>
          <w:szCs w:val="20"/>
          <w:lang w:val="pt-BR"/>
        </w:rPr>
      </w:pPr>
    </w:p>
    <w:p w14:paraId="654F3396" w14:textId="77777777" w:rsidR="00543122" w:rsidRPr="00472851" w:rsidRDefault="00472851" w:rsidP="00472851">
      <w:pPr>
        <w:jc w:val="both"/>
        <w:rPr>
          <w:rFonts w:eastAsiaTheme="minorHAnsi"/>
          <w:color w:val="000000"/>
          <w:sz w:val="24"/>
          <w:szCs w:val="24"/>
          <w:lang w:eastAsia="en-US"/>
        </w:rPr>
      </w:pPr>
      <w:r w:rsidRPr="00472851">
        <w:rPr>
          <w:bCs/>
          <w:i/>
          <w:sz w:val="24"/>
          <w:szCs w:val="24"/>
        </w:rPr>
        <w:t>“</w:t>
      </w:r>
      <w:r w:rsidRPr="00472851">
        <w:rPr>
          <w:bCs/>
          <w:sz w:val="24"/>
          <w:szCs w:val="24"/>
        </w:rPr>
        <w:t xml:space="preserve">[...] </w:t>
      </w:r>
      <w:r w:rsidRPr="00472851">
        <w:rPr>
          <w:bCs/>
          <w:i/>
          <w:sz w:val="24"/>
          <w:szCs w:val="24"/>
        </w:rPr>
        <w:t xml:space="preserve">RECURSO DE REVISTA EM FACE DE DECISÃO PUBLICADA NA VIGÊNCIA DA LEI Nº 13.015/2014. </w:t>
      </w:r>
      <w:r w:rsidRPr="00472851">
        <w:rPr>
          <w:i/>
          <w:sz w:val="24"/>
          <w:szCs w:val="24"/>
        </w:rPr>
        <w:t xml:space="preserve">INCIDÊNCIA DA INSTRUÇÃO NORMATIVA Nº 40 DO TST. </w:t>
      </w:r>
      <w:r w:rsidRPr="00472851">
        <w:rPr>
          <w:bCs/>
          <w:i/>
          <w:sz w:val="24"/>
          <w:szCs w:val="24"/>
        </w:rPr>
        <w:t xml:space="preserve">AÇÃO CIVIL PÚBLICA. TUTELA INIBITÓRIA. EFEITOS AD FUTURUM. SUPERVENIENTE ENCERRAMENTO DA ATIVIDADE DE FILIAL DA EMPRESA. FALTA DE INTERESSE DE AGIR. NÃO CONFIGURAÇÃO. EFEITOS DA COISA JULGADA. Constitui função institucional do Ministério Público do Trabalho a proteção da ordem jurídica e a defesa de direitos difusos ou coletivos, e ainda os individuais homogêneos, podendo, para tanto, utilizar-se de todos os meios judiciais disponíveis, dentre estes o ajuizamento de Ação Civil Pública (Lei nº 7.347/85), para a qual se admite, inclusive, o pedido de tutela inibitória preventiva. Tal medida jurisdicional possui prospecção futura e objetiva evitar a prática, a repetição, ou mesmo a continuidade de ato ilícito (ou antijurídico), mediante tutela específica, consistente em obrigação de fazer, ou de não fazer, capaz de assegurar resultado prático, a fim de evitar o dano, em juízo de probabilidade. Não é indispensável, portanto, a imediata comprovação do dano; basta a mera probabilidade de ato contrário ao direito a ser tutelado. É o que explica o artigo 497, parágrafo único, do CPC/2015. No caso, a Corte de origem registrou expressamente que a reclamada cometeu as infrações que lhe foram imputadas, submetendo seus motoristas a jornadas ampliadas para além do limite legal e à </w:t>
      </w:r>
      <w:r w:rsidRPr="00472851">
        <w:rPr>
          <w:bCs/>
          <w:i/>
          <w:sz w:val="24"/>
          <w:szCs w:val="24"/>
        </w:rPr>
        <w:lastRenderedPageBreak/>
        <w:t xml:space="preserve">supressão de intervalos </w:t>
      </w:r>
      <w:proofErr w:type="spellStart"/>
      <w:r w:rsidRPr="00472851">
        <w:rPr>
          <w:bCs/>
          <w:i/>
          <w:sz w:val="24"/>
          <w:szCs w:val="24"/>
        </w:rPr>
        <w:t>intra</w:t>
      </w:r>
      <w:proofErr w:type="spellEnd"/>
      <w:r w:rsidRPr="00472851">
        <w:rPr>
          <w:bCs/>
          <w:i/>
          <w:sz w:val="24"/>
          <w:szCs w:val="24"/>
        </w:rPr>
        <w:t xml:space="preserve"> e </w:t>
      </w:r>
      <w:proofErr w:type="spellStart"/>
      <w:r w:rsidRPr="00472851">
        <w:rPr>
          <w:bCs/>
          <w:i/>
          <w:sz w:val="24"/>
          <w:szCs w:val="24"/>
        </w:rPr>
        <w:t>interjornadas</w:t>
      </w:r>
      <w:proofErr w:type="spellEnd"/>
      <w:r w:rsidRPr="00472851">
        <w:rPr>
          <w:bCs/>
          <w:i/>
          <w:sz w:val="24"/>
          <w:szCs w:val="24"/>
        </w:rPr>
        <w:t xml:space="preserve">. Anotou, ainda, a existência de irregularidades no registro de ponto e na concessão do repouso semanal remunerado. Não obstante essas considerações, o Tribunal Regional indeferiu as referidas pretensões formuladas pelo Ministério Público do Trabalho – tutelas inibitórias -, por entender que o encerramento superveniente das atividades da empresa no município já citado afasta o interesse de agir da parte. Sucede que, conforme entendimento desta Corte Superior, tal fato, por si só, não é capaz de justificar a extinção deste feito, por falta de interesse processual, ante a natureza do provimento solicitado. Isso porque, além de o pedido não se restringir ao mencionado estabelecimento da empresa - a qual, diga-se de passagem, possui atuação nacional, -, não há qualquer impedimento para que suas atividades venham a ser retomadas naquela localidade, a afastar a probabilidade da reiteração do ilícito. Ou seja, o fechamento da referida filial não garante, em princípio, o encerramento definitivo da atividade da ré junto àquela unidade da Federação, sendo, indevida, portanto a extinção do feito, pela suposta garantia de que os alegados ilícitos, indicados na inicial, não serão novamente praticados. Logo, resta superada tal questão. Outrossim, os efeitos da coisa julgada não deverão ficar restritos aos empregados que porventura atuem na circunscrição do órgão julgador, pois, em se tratando de decisão proferida em ação civil pública, o seu alcance é definido no artigo 103, I, II e III da Lei nº 8.078/90. É de salientar que, consoante posicionamento firmado nesta Corte, o preceito contido no artigo 16 da Lei nº 7.347/85 deverá ser interpretado em conjunto com aqueles dispostos no dispositivo acima transcrito, a fim de alcançar a real finalidade buscada pelas normas e conferir maior efetividade ao instituto em tela. Registre-se, por fim, que os provimentos inibitórios solicitados pelo autor consistem em obrigações de fazer e não fazer restritas à mera observância de normas de ordem pública, previstas na legislação trabalhista, de aplicação geral - ou seja, que independem do contexto fático de cada estabelecimento -, e não implicam restrições ao desenvolvimento regular das atividades da empresa. Recurso de revista conhecido e provido. </w:t>
      </w:r>
      <w:r w:rsidRPr="00472851">
        <w:rPr>
          <w:bCs/>
          <w:sz w:val="24"/>
          <w:szCs w:val="24"/>
        </w:rPr>
        <w:t>[...]</w:t>
      </w:r>
      <w:r w:rsidRPr="00472851">
        <w:rPr>
          <w:i/>
          <w:sz w:val="24"/>
          <w:szCs w:val="24"/>
        </w:rPr>
        <w:t xml:space="preserve">” </w:t>
      </w:r>
      <w:r w:rsidRPr="00472851">
        <w:rPr>
          <w:sz w:val="24"/>
          <w:szCs w:val="24"/>
        </w:rPr>
        <w:t>(</w:t>
      </w:r>
      <w:hyperlink r:id="rId20" w:history="1">
        <w:r w:rsidRPr="00472851">
          <w:rPr>
            <w:rStyle w:val="Hyperlink"/>
            <w:sz w:val="24"/>
            <w:szCs w:val="24"/>
          </w:rPr>
          <w:t>TST-RR-10115-03.2015.5.03.0178</w:t>
        </w:r>
      </w:hyperlink>
      <w:r w:rsidRPr="00472851">
        <w:rPr>
          <w:sz w:val="24"/>
          <w:szCs w:val="24"/>
        </w:rPr>
        <w:t>, 7ª Turma, rel. Min. Cláudio Mascarenhas Brandão, julgado em 27/5/2020.)</w:t>
      </w:r>
    </w:p>
    <w:p w14:paraId="654F3397" w14:textId="77777777" w:rsidR="00543122" w:rsidRDefault="00543122" w:rsidP="00543122">
      <w:pPr>
        <w:jc w:val="both"/>
        <w:outlineLvl w:val="0"/>
        <w:rPr>
          <w:rFonts w:eastAsiaTheme="minorEastAsia"/>
          <w:b/>
          <w:i/>
          <w:color w:val="000000"/>
          <w:sz w:val="24"/>
          <w:szCs w:val="24"/>
        </w:rPr>
      </w:pPr>
    </w:p>
    <w:p w14:paraId="654F3398" w14:textId="77777777" w:rsidR="00543122" w:rsidRDefault="00543122" w:rsidP="00237380">
      <w:pPr>
        <w:jc w:val="both"/>
        <w:rPr>
          <w:i/>
          <w:sz w:val="24"/>
          <w:szCs w:val="24"/>
        </w:rPr>
      </w:pPr>
    </w:p>
    <w:bookmarkEnd w:id="0"/>
    <w:bookmarkEnd w:id="1"/>
    <w:p w14:paraId="654F3399" w14:textId="77777777" w:rsidR="00CA4AE6" w:rsidRPr="004B3120" w:rsidRDefault="00CA4AE6" w:rsidP="00C6738C">
      <w:pPr>
        <w:rPr>
          <w:sz w:val="10"/>
          <w:szCs w:val="10"/>
        </w:rPr>
      </w:pPr>
    </w:p>
    <w:p w14:paraId="654F339A" w14:textId="77777777" w:rsidR="00CA4AE6" w:rsidRPr="004B3120" w:rsidRDefault="00CA4AE6" w:rsidP="00C6738C">
      <w:pPr>
        <w:rPr>
          <w:sz w:val="10"/>
          <w:szCs w:val="10"/>
        </w:rPr>
      </w:pPr>
    </w:p>
    <w:p w14:paraId="654F339B" w14:textId="77777777" w:rsidR="00CA4AE6" w:rsidRPr="004B3120" w:rsidRDefault="00CA4AE6" w:rsidP="00C6738C">
      <w:pPr>
        <w:rPr>
          <w:sz w:val="10"/>
          <w:szCs w:val="10"/>
        </w:rPr>
      </w:pPr>
    </w:p>
    <w:p w14:paraId="654F339C" w14:textId="77777777" w:rsidR="00E3622E" w:rsidRPr="004B3120" w:rsidRDefault="00E3622E" w:rsidP="00C6738C">
      <w:pPr>
        <w:rPr>
          <w:sz w:val="10"/>
          <w:szCs w:val="10"/>
        </w:rPr>
      </w:pPr>
    </w:p>
    <w:p w14:paraId="654F339D"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4F339E"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654F339F"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654F33A0"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1" w:history="1">
        <w:r w:rsidR="005F0522" w:rsidRPr="004B3120">
          <w:rPr>
            <w:rStyle w:val="Hyperlink"/>
            <w:snapToGrid w:val="0"/>
            <w:sz w:val="25"/>
            <w:szCs w:val="25"/>
          </w:rPr>
          <w:t>cjur@tst.jus.br</w:t>
        </w:r>
      </w:hyperlink>
    </w:p>
    <w:p w14:paraId="654F33A1"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654F33A2"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2" w:history="1">
        <w:r w:rsidR="00B15004" w:rsidRPr="004B3120">
          <w:rPr>
            <w:rStyle w:val="Hyperlink"/>
            <w:snapToGrid w:val="0"/>
            <w:sz w:val="25"/>
            <w:szCs w:val="25"/>
          </w:rPr>
          <w:t>http://www.tst.jus.br/web/guest/informativo-tst</w:t>
        </w:r>
      </w:hyperlink>
    </w:p>
    <w:p w14:paraId="654F33A3"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654F33A4"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3" w:history="1">
        <w:r w:rsidRPr="004B3120">
          <w:rPr>
            <w:rStyle w:val="Hyperlink"/>
            <w:snapToGrid w:val="0"/>
            <w:sz w:val="25"/>
            <w:szCs w:val="25"/>
          </w:rPr>
          <w:t>http://www.tst.jus.br/push</w:t>
        </w:r>
      </w:hyperlink>
    </w:p>
    <w:p w14:paraId="654F33A5"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33A8" w14:textId="77777777" w:rsidR="00472851" w:rsidRDefault="00472851">
      <w:r>
        <w:separator/>
      </w:r>
    </w:p>
  </w:endnote>
  <w:endnote w:type="continuationSeparator" w:id="0">
    <w:p w14:paraId="654F33A9" w14:textId="77777777" w:rsidR="00472851" w:rsidRDefault="004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3AD" w14:textId="77777777" w:rsidR="00472851" w:rsidRDefault="0047285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3AC5">
      <w:rPr>
        <w:rStyle w:val="Nmerodepgina"/>
        <w:noProof/>
      </w:rPr>
      <w:t>10</w:t>
    </w:r>
    <w:r>
      <w:rPr>
        <w:rStyle w:val="Nmerodepgina"/>
      </w:rPr>
      <w:fldChar w:fldCharType="end"/>
    </w:r>
  </w:p>
  <w:p w14:paraId="654F33AE" w14:textId="77777777" w:rsidR="00472851" w:rsidRDefault="00472851">
    <w:pPr>
      <w:pStyle w:val="Rodap"/>
      <w:ind w:right="360"/>
    </w:pPr>
    <w:r>
      <w:rPr>
        <w:noProof/>
      </w:rPr>
      <mc:AlternateContent>
        <mc:Choice Requires="wps">
          <w:drawing>
            <wp:anchor distT="0" distB="0" distL="114300" distR="114300" simplePos="0" relativeHeight="251658240" behindDoc="0" locked="0" layoutInCell="0" allowOverlap="1" wp14:anchorId="654F33B9" wp14:editId="654F33BA">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1B9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3B6" w14:textId="77777777" w:rsidR="00472851" w:rsidRDefault="00472851">
    <w:pPr>
      <w:pStyle w:val="Rodap"/>
      <w:jc w:val="right"/>
    </w:pPr>
    <w:r>
      <w:rPr>
        <w:noProof/>
      </w:rPr>
      <mc:AlternateContent>
        <mc:Choice Requires="wps">
          <w:drawing>
            <wp:anchor distT="0" distB="0" distL="114300" distR="114300" simplePos="0" relativeHeight="251659264" behindDoc="0" locked="0" layoutInCell="0" allowOverlap="1" wp14:anchorId="654F33BF" wp14:editId="654F33C0">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B791"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7A52F4">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33A6" w14:textId="77777777" w:rsidR="00472851" w:rsidRDefault="00472851">
      <w:r>
        <w:separator/>
      </w:r>
    </w:p>
  </w:footnote>
  <w:footnote w:type="continuationSeparator" w:id="0">
    <w:p w14:paraId="654F33A7" w14:textId="77777777" w:rsidR="00472851" w:rsidRDefault="0047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3AA" w14:textId="77777777" w:rsidR="00472851" w:rsidRPr="008420B2" w:rsidRDefault="00472851">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219</w:t>
    </w:r>
  </w:p>
  <w:p w14:paraId="654F33AB" w14:textId="77777777" w:rsidR="00472851" w:rsidRDefault="00472851"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654F33B7" wp14:editId="654F33B8">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0524"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Pr>
        <w:i/>
        <w:iCs/>
        <w:color w:val="005DA2"/>
      </w:rPr>
      <w:t>18 a 29</w:t>
    </w:r>
    <w:r w:rsidRPr="006717E0">
      <w:rPr>
        <w:i/>
        <w:iCs/>
        <w:color w:val="005DA2"/>
      </w:rPr>
      <w:t xml:space="preserve"> de</w:t>
    </w:r>
    <w:r>
      <w:rPr>
        <w:i/>
        <w:iCs/>
        <w:color w:val="005DA2"/>
      </w:rPr>
      <w:t xml:space="preserve"> maio de 2020</w:t>
    </w:r>
  </w:p>
  <w:p w14:paraId="654F33AC" w14:textId="77777777" w:rsidR="00472851" w:rsidRPr="005D1DE4" w:rsidRDefault="00472851"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3AF" w14:textId="77777777" w:rsidR="00472851" w:rsidRDefault="00472851">
    <w:pPr>
      <w:pStyle w:val="Cabealho"/>
    </w:pPr>
    <w:r>
      <w:rPr>
        <w:noProof/>
      </w:rPr>
      <w:drawing>
        <wp:inline distT="0" distB="0" distL="0" distR="0" wp14:anchorId="654F33BB" wp14:editId="654F33BC">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654F33B0" w14:textId="77777777" w:rsidR="00472851" w:rsidRDefault="00472851">
    <w:pPr>
      <w:pStyle w:val="Cabealho"/>
    </w:pPr>
    <w:r>
      <w:rPr>
        <w:rFonts w:ascii="Bebas Neue Regular" w:hAnsi="Bebas Neue Regular"/>
        <w:noProof/>
        <w:color w:val="006699"/>
        <w:sz w:val="30"/>
      </w:rPr>
      <w:drawing>
        <wp:inline distT="0" distB="0" distL="0" distR="0" wp14:anchorId="654F33BD" wp14:editId="654F33B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54F33B1" w14:textId="77777777" w:rsidR="00472851" w:rsidRDefault="00472851">
    <w:pPr>
      <w:pStyle w:val="Cabealho"/>
    </w:pPr>
  </w:p>
  <w:p w14:paraId="654F33B2" w14:textId="77777777" w:rsidR="00472851" w:rsidRPr="006717E0" w:rsidRDefault="00472851"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19</w:t>
    </w:r>
  </w:p>
  <w:p w14:paraId="654F33B3" w14:textId="77777777" w:rsidR="00472851" w:rsidRPr="006717E0" w:rsidRDefault="00472851">
    <w:pPr>
      <w:pStyle w:val="Cabealho"/>
      <w:jc w:val="right"/>
      <w:rPr>
        <w:i/>
        <w:iCs/>
        <w:color w:val="005DA2"/>
        <w:sz w:val="10"/>
        <w:szCs w:val="10"/>
      </w:rPr>
    </w:pPr>
  </w:p>
  <w:p w14:paraId="654F33B4" w14:textId="77777777" w:rsidR="00472851" w:rsidRPr="006717E0" w:rsidRDefault="00472851" w:rsidP="009A16E8">
    <w:pPr>
      <w:pStyle w:val="Cabealho"/>
      <w:jc w:val="right"/>
      <w:rPr>
        <w:i/>
        <w:iCs/>
        <w:color w:val="005DA2"/>
      </w:rPr>
    </w:pPr>
    <w:r w:rsidRPr="006717E0">
      <w:rPr>
        <w:i/>
        <w:iCs/>
        <w:color w:val="005DA2"/>
      </w:rPr>
      <w:t xml:space="preserve">Período: </w:t>
    </w:r>
    <w:r>
      <w:rPr>
        <w:i/>
        <w:iCs/>
        <w:color w:val="005DA2"/>
      </w:rPr>
      <w:t>18 a 29</w:t>
    </w:r>
    <w:r w:rsidRPr="006717E0">
      <w:rPr>
        <w:i/>
        <w:iCs/>
        <w:color w:val="005DA2"/>
      </w:rPr>
      <w:t xml:space="preserve"> de</w:t>
    </w:r>
    <w:r>
      <w:rPr>
        <w:i/>
        <w:iCs/>
        <w:color w:val="005DA2"/>
      </w:rPr>
      <w:t xml:space="preserve"> maio de 2020</w:t>
    </w:r>
  </w:p>
  <w:p w14:paraId="654F33B5" w14:textId="77777777" w:rsidR="00472851" w:rsidRDefault="00472851"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3789"/>
    <w:rsid w:val="0051538E"/>
    <w:rsid w:val="00517E01"/>
    <w:rsid w:val="005208C8"/>
    <w:rsid w:val="00521EEC"/>
    <w:rsid w:val="00530B9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40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4F336F"/>
  <w15:docId w15:val="{904103DC-C69F-4D7A-9F60-3CC5F69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813&amp;digitoTst=26&amp;anoTst=2010&amp;orgaoTst=5&amp;tribunalTst=06&amp;varaTst=0000" TargetMode="External"/><Relationship Id="rId13" Type="http://schemas.openxmlformats.org/officeDocument/2006/relationships/hyperlink" Target="http://aplicacao4.tst.jus.br/consultaProcessual/consultaTstNumUnica.do?consulta=Consultar&amp;conscsjt=&amp;numeroTst=126700&amp;digitoTst=53&amp;anoTst=2009&amp;orgaoTst=5&amp;tribunalTst=06&amp;varaTst=21" TargetMode="External"/><Relationship Id="rId18" Type="http://schemas.openxmlformats.org/officeDocument/2006/relationships/hyperlink" Target="http://aplicacao4.tst.jus.br/consultaProcessual/consultaTstNumUnica.do?consulta=Consultar&amp;conscsjt=&amp;numeroTst=11017&amp;digitoTst=06&amp;anoTst=2015&amp;orgaoTst=5&amp;tribunalTst=01&amp;varaTst=0244&amp;submit=Consult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315&amp;digitoTst=82&amp;anoTst=2017&amp;orgaoTst=5&amp;tribunalTst=&amp;varaTst=" TargetMode="External"/><Relationship Id="rId17" Type="http://schemas.openxmlformats.org/officeDocument/2006/relationships/hyperlink" Target="http://aplicacao4.tst.jus.br/consultaProcessual/consultaTstNumUnica.do?consulta=Consultar&amp;conscsjt=&amp;numeroTst=1721&amp;digitoTst=39&amp;anoTst=2015&amp;orgaoTst=5&amp;tribunalTst=17&amp;varaTst=0009&amp;submit=Consult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9&amp;digitoTst=71&amp;anoTst=2017&amp;orgaoTst=5&amp;tribunalTst=02&amp;varaTst=70" TargetMode="External"/><Relationship Id="rId20" Type="http://schemas.openxmlformats.org/officeDocument/2006/relationships/hyperlink" Target="http://aplicacao4.tst.jus.br/consultaProcessual/consultaTstNumUnica.do?consulta=Consultar&amp;conscsjt=&amp;numeroTst=10115&amp;digitoTst=03&amp;anoTst=2015&amp;orgaoTst=5&amp;tribunalTst=03&amp;varaTst=01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96700&amp;digitoTst=68&amp;anoTst=2009&amp;orgaoTst=5&amp;tribunalTst=12&amp;varaTst=0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596&amp;digitoTst=19&amp;anoTst=2018&amp;orgaoTst=5&amp;tribunalTst=&amp;varaTst="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770&amp;digitoTst=74&amp;anoTst=2011&amp;orgaoTst=5&amp;tribunalTst=03&amp;varaTst=0106" TargetMode="External"/><Relationship Id="rId19" Type="http://schemas.openxmlformats.org/officeDocument/2006/relationships/hyperlink" Target="http://aplicacao4.tst.jus.br/consultaProcessual/consultaTstNumUnica.do?consulta=Consultar&amp;conscsjt=&amp;numeroTst=49&amp;digitoTst=46&amp;anoTst=2019&amp;orgaoTst=5&amp;tribunalTst=21&amp;varaTst=0008&amp;submit=Consultar"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0472&amp;digitoTst=61&amp;anoTst=2015&amp;orgaoTst=5&amp;tribunalTst=18&amp;varaTst=0211" TargetMode="External"/><Relationship Id="rId14" Type="http://schemas.openxmlformats.org/officeDocument/2006/relationships/hyperlink" Target="http://aplicacao4.tst.jus.br/consultaProcessual/consultaTstNumUnica.do?consulta=Consultar&amp;conscsjt=&amp;numeroTst=100154&amp;digitoTst=62&amp;anoTst=2016&amp;orgaoTst=5&amp;tribunalTst=01&amp;varaTst=341"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CD48-1F23-44D5-8DDB-BB835542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7045</Words>
  <Characters>38047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45002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17</cp:revision>
  <cp:lastPrinted>2019-10-29T20:50:00Z</cp:lastPrinted>
  <dcterms:created xsi:type="dcterms:W3CDTF">2019-11-06T21:32:00Z</dcterms:created>
  <dcterms:modified xsi:type="dcterms:W3CDTF">2020-05-29T23:08:00Z</dcterms:modified>
</cp:coreProperties>
</file>