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006192"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00619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D6459D" w:rsidRPr="0000619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EA4C55" w:rsidRDefault="00EA4C55" w:rsidP="00EA4C55">
      <w:pPr>
        <w:jc w:val="both"/>
        <w:rPr>
          <w:b/>
          <w:i/>
          <w:sz w:val="24"/>
        </w:rPr>
      </w:pPr>
    </w:p>
    <w:p w:rsidR="00EA4C55" w:rsidRDefault="00EA4C55" w:rsidP="00EA4C55">
      <w:pPr>
        <w:jc w:val="both"/>
      </w:pPr>
      <w:r w:rsidRPr="00EB35A8">
        <w:rPr>
          <w:b/>
          <w:i/>
          <w:sz w:val="24"/>
        </w:rPr>
        <w:t>Ação anulatória. Atestado</w:t>
      </w:r>
      <w:r>
        <w:rPr>
          <w:b/>
          <w:i/>
          <w:sz w:val="24"/>
        </w:rPr>
        <w:t xml:space="preserve">s médicos e odontológicos. Exigência de indicação do código referente à </w:t>
      </w:r>
      <w:r w:rsidRPr="00EB35A8">
        <w:rPr>
          <w:b/>
          <w:i/>
          <w:sz w:val="24"/>
        </w:rPr>
        <w:t>Classificação Internacional de Doenças - CID. Nulidade de cláusula de</w:t>
      </w:r>
      <w:r>
        <w:rPr>
          <w:b/>
          <w:i/>
          <w:sz w:val="24"/>
        </w:rPr>
        <w:t xml:space="preserve"> norma coletiva. </w:t>
      </w:r>
      <w:r>
        <w:t xml:space="preserve"> </w:t>
      </w:r>
    </w:p>
    <w:p w:rsidR="00EA4C55" w:rsidRPr="00EB35A8" w:rsidRDefault="00EA4C55" w:rsidP="00EA4C55">
      <w:pPr>
        <w:jc w:val="both"/>
        <w:rPr>
          <w:sz w:val="24"/>
          <w:szCs w:val="24"/>
        </w:rPr>
      </w:pPr>
      <w:r w:rsidRPr="00EB35A8">
        <w:rPr>
          <w:sz w:val="24"/>
          <w:szCs w:val="24"/>
        </w:rPr>
        <w:t xml:space="preserve">É nula cláusula de </w:t>
      </w:r>
      <w:r>
        <w:rPr>
          <w:sz w:val="24"/>
          <w:szCs w:val="24"/>
        </w:rPr>
        <w:t xml:space="preserve">norma coletiva </w:t>
      </w:r>
      <w:r w:rsidRPr="00EB35A8">
        <w:rPr>
          <w:sz w:val="24"/>
          <w:szCs w:val="24"/>
        </w:rPr>
        <w:t>que</w:t>
      </w:r>
      <w:r>
        <w:rPr>
          <w:sz w:val="24"/>
          <w:szCs w:val="24"/>
        </w:rPr>
        <w:t xml:space="preserve"> condiciona a validade de atestados médicos e odontológicos apresentados pelos empregados à indicação do código referente à </w:t>
      </w:r>
      <w:r w:rsidRPr="00EB35A8">
        <w:rPr>
          <w:sz w:val="24"/>
          <w:szCs w:val="24"/>
        </w:rPr>
        <w:t>Classificação Internacional de Doenças</w:t>
      </w:r>
      <w:r>
        <w:rPr>
          <w:sz w:val="24"/>
          <w:szCs w:val="24"/>
        </w:rPr>
        <w:t xml:space="preserve"> - </w:t>
      </w:r>
      <w:r w:rsidRPr="00EB35A8">
        <w:rPr>
          <w:sz w:val="24"/>
          <w:szCs w:val="24"/>
        </w:rPr>
        <w:t xml:space="preserve">CID. Tal exigência obriga o trabalhador </w:t>
      </w:r>
      <w:r>
        <w:rPr>
          <w:sz w:val="24"/>
          <w:szCs w:val="24"/>
        </w:rPr>
        <w:t xml:space="preserve">a </w:t>
      </w:r>
      <w:r w:rsidRPr="00EB35A8">
        <w:rPr>
          <w:sz w:val="24"/>
          <w:szCs w:val="24"/>
        </w:rPr>
        <w:t>divulgar informações acerca de seu estado de saúde para exercer seu direito de justificar a ausência a</w:t>
      </w:r>
      <w:r>
        <w:rPr>
          <w:sz w:val="24"/>
          <w:szCs w:val="24"/>
        </w:rPr>
        <w:t xml:space="preserve">o trabalho por motivo de doença, em afronta às regulamentações do Conselho Federal de Medicina e às garantias constitucionais de inviolabilidade da intimidade, da vida privada, da honra e da imagem </w:t>
      </w:r>
      <w:r w:rsidRPr="00EB35A8">
        <w:rPr>
          <w:sz w:val="24"/>
          <w:szCs w:val="24"/>
        </w:rPr>
        <w:t>(art. 5º, X, da CF</w:t>
      </w:r>
      <w:r>
        <w:rPr>
          <w:sz w:val="24"/>
          <w:szCs w:val="24"/>
        </w:rPr>
        <w:t>)</w:t>
      </w:r>
      <w:r w:rsidRPr="00EB35A8">
        <w:rPr>
          <w:sz w:val="24"/>
          <w:szCs w:val="24"/>
        </w:rPr>
        <w:t>. Sob esses fundamentos, a S</w:t>
      </w:r>
      <w:r>
        <w:rPr>
          <w:sz w:val="24"/>
          <w:szCs w:val="24"/>
        </w:rPr>
        <w:t>DC</w:t>
      </w:r>
      <w:r w:rsidRPr="00EB35A8">
        <w:rPr>
          <w:sz w:val="24"/>
          <w:szCs w:val="24"/>
        </w:rPr>
        <w:t xml:space="preserve">, </w:t>
      </w:r>
      <w:r>
        <w:rPr>
          <w:sz w:val="24"/>
          <w:szCs w:val="24"/>
        </w:rPr>
        <w:t xml:space="preserve">por unanimidade, conheceu do recurso ordinário, e, </w:t>
      </w:r>
      <w:r w:rsidRPr="00EB35A8">
        <w:rPr>
          <w:sz w:val="24"/>
          <w:szCs w:val="24"/>
        </w:rPr>
        <w:t xml:space="preserve">por </w:t>
      </w:r>
      <w:r>
        <w:rPr>
          <w:sz w:val="24"/>
          <w:szCs w:val="24"/>
        </w:rPr>
        <w:t>maioria, negou-lhe provimento para manter a decisão do Tribunal Regional que declarara nula a cláusula em apreço. V</w:t>
      </w:r>
      <w:r w:rsidRPr="00EB35A8">
        <w:rPr>
          <w:sz w:val="24"/>
          <w:szCs w:val="24"/>
        </w:rPr>
        <w:t>encido</w:t>
      </w:r>
      <w:r>
        <w:rPr>
          <w:sz w:val="24"/>
          <w:szCs w:val="24"/>
        </w:rPr>
        <w:t>s</w:t>
      </w:r>
      <w:r w:rsidRPr="00EB35A8">
        <w:rPr>
          <w:sz w:val="24"/>
          <w:szCs w:val="24"/>
        </w:rPr>
        <w:t xml:space="preserve"> o</w:t>
      </w:r>
      <w:r>
        <w:rPr>
          <w:sz w:val="24"/>
          <w:szCs w:val="24"/>
        </w:rPr>
        <w:t>s</w:t>
      </w:r>
      <w:r w:rsidRPr="00EB35A8">
        <w:rPr>
          <w:sz w:val="24"/>
          <w:szCs w:val="24"/>
        </w:rPr>
        <w:t xml:space="preserve"> Ministro</w:t>
      </w:r>
      <w:r>
        <w:rPr>
          <w:sz w:val="24"/>
          <w:szCs w:val="24"/>
        </w:rPr>
        <w:t>s</w:t>
      </w:r>
      <w:r w:rsidRPr="00EB35A8">
        <w:rPr>
          <w:sz w:val="24"/>
          <w:szCs w:val="24"/>
        </w:rPr>
        <w:t xml:space="preserve"> Ives Gandra Martins Filho</w:t>
      </w:r>
      <w:r>
        <w:rPr>
          <w:sz w:val="24"/>
          <w:szCs w:val="24"/>
        </w:rPr>
        <w:t>, Dora Maria da Costa e Guilherme Augusto Caputo Bastos</w:t>
      </w:r>
      <w:r w:rsidRPr="00EB35A8">
        <w:rPr>
          <w:sz w:val="24"/>
          <w:szCs w:val="24"/>
        </w:rPr>
        <w:t xml:space="preserve">. </w:t>
      </w:r>
      <w:hyperlink r:id="rId9" w:history="1">
        <w:r w:rsidRPr="00FB50B4">
          <w:rPr>
            <w:rStyle w:val="Hyperlink"/>
            <w:sz w:val="24"/>
            <w:szCs w:val="24"/>
          </w:rPr>
          <w:t>TST-RO-213-66.2017.5.08.0000</w:t>
        </w:r>
      </w:hyperlink>
      <w:r w:rsidRPr="00FB50B4">
        <w:rPr>
          <w:sz w:val="24"/>
          <w:szCs w:val="24"/>
          <w:u w:val="single"/>
        </w:rPr>
        <w:t>, SDC, rel. Min.</w:t>
      </w:r>
      <w:r w:rsidRPr="00FB50B4">
        <w:rPr>
          <w:bCs/>
          <w:sz w:val="24"/>
          <w:szCs w:val="24"/>
          <w:u w:val="single"/>
          <w:shd w:val="clear" w:color="auto" w:fill="FFFFFF"/>
        </w:rPr>
        <w:t> Kátia Magalhães Arruda</w:t>
      </w:r>
      <w:r w:rsidRPr="00FB50B4">
        <w:rPr>
          <w:sz w:val="24"/>
          <w:szCs w:val="24"/>
          <w:u w:val="single"/>
        </w:rPr>
        <w:t>, 19.2.2019.</w:t>
      </w:r>
      <w:r>
        <w:rPr>
          <w:sz w:val="24"/>
          <w:szCs w:val="24"/>
          <w:u w:val="single"/>
        </w:rPr>
        <w:t xml:space="preserve"> </w:t>
      </w:r>
      <w:r w:rsidRPr="00C328F4">
        <w:t>(*Cf. Informativo</w:t>
      </w:r>
      <w:r>
        <w:t>s</w:t>
      </w:r>
      <w:r w:rsidRPr="00C328F4">
        <w:t xml:space="preserve"> TST nº</w:t>
      </w:r>
      <w:r w:rsidRPr="00014844">
        <w:rPr>
          <w:vertAlign w:val="superscript"/>
        </w:rPr>
        <w:t>s</w:t>
      </w:r>
      <w:r w:rsidRPr="00C328F4">
        <w:t xml:space="preserve"> </w:t>
      </w:r>
      <w:hyperlink r:id="rId10" w:history="1">
        <w:r w:rsidRPr="005F0522">
          <w:rPr>
            <w:rStyle w:val="Hyperlink"/>
          </w:rPr>
          <w:t>114</w:t>
        </w:r>
      </w:hyperlink>
      <w:r>
        <w:t xml:space="preserve"> e </w:t>
      </w:r>
      <w:hyperlink r:id="rId11" w:history="1">
        <w:r w:rsidRPr="005F0522">
          <w:rPr>
            <w:rStyle w:val="Hyperlink"/>
          </w:rPr>
          <w:t>126</w:t>
        </w:r>
      </w:hyperlink>
      <w:r w:rsidRPr="00C328F4">
        <w:t>)</w:t>
      </w:r>
    </w:p>
    <w:p w:rsidR="00EA4C55" w:rsidRDefault="00EA4C55" w:rsidP="00D6459D">
      <w:pPr>
        <w:jc w:val="both"/>
        <w:rPr>
          <w:sz w:val="24"/>
          <w:szCs w:val="24"/>
        </w:rPr>
      </w:pPr>
    </w:p>
    <w:p w:rsidR="00EA4C55" w:rsidRPr="00B20B1A" w:rsidRDefault="00EA4C55" w:rsidP="00EA4C55">
      <w:pPr>
        <w:jc w:val="both"/>
        <w:rPr>
          <w:b/>
          <w:i/>
          <w:sz w:val="24"/>
          <w:szCs w:val="24"/>
        </w:rPr>
      </w:pPr>
      <w:r>
        <w:rPr>
          <w:b/>
          <w:i/>
          <w:sz w:val="24"/>
          <w:szCs w:val="24"/>
        </w:rPr>
        <w:t>Ação anulatória</w:t>
      </w:r>
      <w:r w:rsidRPr="00B4525E">
        <w:rPr>
          <w:b/>
          <w:i/>
          <w:sz w:val="24"/>
          <w:szCs w:val="24"/>
        </w:rPr>
        <w:t xml:space="preserve">. </w:t>
      </w:r>
      <w:r>
        <w:rPr>
          <w:b/>
          <w:i/>
          <w:sz w:val="24"/>
          <w:szCs w:val="24"/>
        </w:rPr>
        <w:t xml:space="preserve">Norma coletiva com vigência anterior à Lei nº 13.467/2017. Supressão das horas </w:t>
      </w:r>
      <w:r w:rsidRPr="00302FED">
        <w:rPr>
          <w:i/>
          <w:sz w:val="24"/>
          <w:szCs w:val="24"/>
        </w:rPr>
        <w:t>in itinere</w:t>
      </w:r>
      <w:r>
        <w:rPr>
          <w:b/>
          <w:i/>
          <w:sz w:val="24"/>
          <w:szCs w:val="24"/>
        </w:rPr>
        <w:t>. Comprovada concessão de outras vantagens. Incidência do entendimento adotado nos processos STF-</w:t>
      </w:r>
      <w:r w:rsidRPr="006110C5">
        <w:rPr>
          <w:b/>
          <w:i/>
          <w:sz w:val="24"/>
          <w:szCs w:val="24"/>
        </w:rPr>
        <w:t>RE 590.415/SC e</w:t>
      </w:r>
      <w:r>
        <w:rPr>
          <w:b/>
          <w:i/>
          <w:sz w:val="24"/>
          <w:szCs w:val="24"/>
        </w:rPr>
        <w:t xml:space="preserve"> STF-RE</w:t>
      </w:r>
      <w:r w:rsidRPr="006110C5">
        <w:rPr>
          <w:b/>
          <w:i/>
          <w:sz w:val="24"/>
          <w:szCs w:val="24"/>
        </w:rPr>
        <w:t xml:space="preserve"> 895.759/PE</w:t>
      </w:r>
      <w:r>
        <w:rPr>
          <w:b/>
          <w:i/>
          <w:sz w:val="24"/>
          <w:szCs w:val="24"/>
        </w:rPr>
        <w:t xml:space="preserve">. Ausência de </w:t>
      </w:r>
      <w:r w:rsidRPr="00302FED">
        <w:rPr>
          <w:i/>
          <w:sz w:val="24"/>
          <w:szCs w:val="24"/>
        </w:rPr>
        <w:t>distinguishing</w:t>
      </w:r>
      <w:r>
        <w:rPr>
          <w:b/>
          <w:i/>
          <w:sz w:val="24"/>
          <w:szCs w:val="24"/>
        </w:rPr>
        <w:t>. Validade da cláusula.</w:t>
      </w:r>
    </w:p>
    <w:p w:rsidR="00EA4C55" w:rsidRDefault="00EA4C55" w:rsidP="00EA4C55">
      <w:pPr>
        <w:jc w:val="both"/>
        <w:rPr>
          <w:sz w:val="24"/>
          <w:szCs w:val="24"/>
        </w:rPr>
      </w:pPr>
      <w:r>
        <w:rPr>
          <w:sz w:val="24"/>
          <w:szCs w:val="24"/>
        </w:rPr>
        <w:t xml:space="preserve">O </w:t>
      </w:r>
      <w:r w:rsidRPr="006110C5">
        <w:rPr>
          <w:sz w:val="24"/>
          <w:szCs w:val="24"/>
        </w:rPr>
        <w:t>Supremo Tr</w:t>
      </w:r>
      <w:r>
        <w:rPr>
          <w:sz w:val="24"/>
          <w:szCs w:val="24"/>
        </w:rPr>
        <w:t>ibunal Federal, no exame dos processos RE</w:t>
      </w:r>
      <w:r w:rsidRPr="006110C5">
        <w:rPr>
          <w:sz w:val="24"/>
          <w:szCs w:val="24"/>
        </w:rPr>
        <w:t xml:space="preserve"> 590415/SC</w:t>
      </w:r>
      <w:r>
        <w:rPr>
          <w:sz w:val="24"/>
          <w:szCs w:val="24"/>
        </w:rPr>
        <w:t xml:space="preserve"> (com repercussão geral reconhecida)</w:t>
      </w:r>
      <w:r w:rsidRPr="006110C5">
        <w:rPr>
          <w:sz w:val="24"/>
          <w:szCs w:val="24"/>
        </w:rPr>
        <w:t xml:space="preserve"> e </w:t>
      </w:r>
      <w:r>
        <w:rPr>
          <w:sz w:val="24"/>
          <w:szCs w:val="24"/>
        </w:rPr>
        <w:t xml:space="preserve">RE </w:t>
      </w:r>
      <w:r w:rsidRPr="006110C5">
        <w:rPr>
          <w:sz w:val="24"/>
          <w:szCs w:val="24"/>
        </w:rPr>
        <w:t>895759/PE</w:t>
      </w:r>
      <w:r>
        <w:rPr>
          <w:sz w:val="24"/>
          <w:szCs w:val="24"/>
        </w:rPr>
        <w:t xml:space="preserve">, admitiu a validade de acordos coletivos que embora tenham </w:t>
      </w:r>
      <w:r w:rsidRPr="00152C6E">
        <w:rPr>
          <w:sz w:val="24"/>
          <w:szCs w:val="24"/>
        </w:rPr>
        <w:t xml:space="preserve">afastado direito assegurado aos trabalhadores pela </w:t>
      </w:r>
      <w:r>
        <w:rPr>
          <w:sz w:val="24"/>
          <w:szCs w:val="24"/>
        </w:rPr>
        <w:t>legislação vigente</w:t>
      </w:r>
      <w:r w:rsidRPr="00152C6E">
        <w:rPr>
          <w:sz w:val="24"/>
          <w:szCs w:val="24"/>
        </w:rPr>
        <w:t>, concedeu-lhe</w:t>
      </w:r>
      <w:r>
        <w:rPr>
          <w:sz w:val="24"/>
          <w:szCs w:val="24"/>
        </w:rPr>
        <w:t>s</w:t>
      </w:r>
      <w:r w:rsidRPr="00152C6E">
        <w:rPr>
          <w:sz w:val="24"/>
          <w:szCs w:val="24"/>
        </w:rPr>
        <w:t xml:space="preserve"> vantagens </w:t>
      </w:r>
      <w:r>
        <w:rPr>
          <w:sz w:val="24"/>
          <w:szCs w:val="24"/>
        </w:rPr>
        <w:t>compensatórias, ante o princípio da autonomia da vontade coletiva previsto no art. 7º, XXVI, da CF. Assim, é</w:t>
      </w:r>
      <w:r w:rsidRPr="006110C5">
        <w:rPr>
          <w:sz w:val="24"/>
          <w:szCs w:val="24"/>
        </w:rPr>
        <w:t xml:space="preserve"> válida cláusula de convenção coletiva que </w:t>
      </w:r>
      <w:r>
        <w:rPr>
          <w:sz w:val="24"/>
          <w:szCs w:val="24"/>
        </w:rPr>
        <w:t>retira</w:t>
      </w:r>
      <w:r w:rsidRPr="006110C5">
        <w:rPr>
          <w:sz w:val="24"/>
          <w:szCs w:val="24"/>
        </w:rPr>
        <w:t xml:space="preserve"> o direito às horas </w:t>
      </w:r>
      <w:r w:rsidRPr="00944F94">
        <w:rPr>
          <w:i/>
          <w:sz w:val="24"/>
          <w:szCs w:val="24"/>
        </w:rPr>
        <w:t>in itinere</w:t>
      </w:r>
      <w:r w:rsidRPr="006110C5">
        <w:rPr>
          <w:sz w:val="24"/>
          <w:szCs w:val="24"/>
        </w:rPr>
        <w:t>, em razão d</w:t>
      </w:r>
      <w:r>
        <w:rPr>
          <w:sz w:val="24"/>
          <w:szCs w:val="24"/>
        </w:rPr>
        <w:t xml:space="preserve">a comprovada concessão de outras vantagens econômicas e socais não previstas em lei, registradas em diversas cláusulas do mesmo instrumento normativo (indenização na aposentadoria, auxílio escolar, indenização especial de despedida, entre outras), não havendo qualquer </w:t>
      </w:r>
      <w:r w:rsidRPr="0086641F">
        <w:rPr>
          <w:i/>
          <w:sz w:val="24"/>
          <w:szCs w:val="24"/>
        </w:rPr>
        <w:t>distinguishing</w:t>
      </w:r>
      <w:r>
        <w:rPr>
          <w:sz w:val="24"/>
          <w:szCs w:val="24"/>
        </w:rPr>
        <w:t xml:space="preserve"> que autorize a não incidência do entendimento adotado pela Suprema Corte ao caso concreto. Sob esses fundamentos, a SDC, por unanimidade, conheceu dos recursos ordinários, e, por maioria, deu-lhes provimento para julgar improcedente a pretensão. Vencidos os Ministros Mauricio Godinho Delgado, Katia Magalhães Arruda, Renato de Lacerda Paiva e Lelio Bentes Corrêa. </w:t>
      </w:r>
      <w:hyperlink r:id="rId12" w:history="1">
        <w:r w:rsidRPr="00894451">
          <w:rPr>
            <w:rStyle w:val="Hyperlink"/>
            <w:sz w:val="24"/>
            <w:szCs w:val="24"/>
          </w:rPr>
          <w:t>TST-RO-22201-91.2016.5.04.0000</w:t>
        </w:r>
      </w:hyperlink>
      <w:r w:rsidRPr="00302FED">
        <w:rPr>
          <w:sz w:val="24"/>
          <w:szCs w:val="24"/>
          <w:u w:val="single"/>
        </w:rPr>
        <w:t>, SDC, rel. Min. Aloysio Corrêa da Veiga, 19.2.2019</w:t>
      </w:r>
    </w:p>
    <w:p w:rsidR="0018640B" w:rsidRPr="00D6459D" w:rsidRDefault="0018640B" w:rsidP="0018640B">
      <w:pPr>
        <w:jc w:val="both"/>
        <w:rPr>
          <w:sz w:val="24"/>
          <w:szCs w:val="24"/>
          <w:u w:val="single"/>
        </w:rPr>
      </w:pPr>
    </w:p>
    <w:p w:rsidR="00920B0C" w:rsidRPr="00006192"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00619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D6459D" w:rsidRPr="00D6459D" w:rsidRDefault="00D6459D" w:rsidP="0018640B">
      <w:pPr>
        <w:pStyle w:val="Identificao"/>
        <w:rPr>
          <w:rFonts w:ascii="Times New Roman" w:hAnsi="Times New Roman" w:cs="Times New Roman"/>
          <w:color w:val="auto"/>
          <w:u w:val="single"/>
          <w:lang w:val="pt-BR"/>
        </w:rPr>
      </w:pPr>
    </w:p>
    <w:p w:rsidR="005F0522" w:rsidRPr="005F0522" w:rsidRDefault="005F0522" w:rsidP="005F0522">
      <w:pPr>
        <w:pStyle w:val="Identificao"/>
        <w:rPr>
          <w:rFonts w:ascii="Times New Roman" w:eastAsia="Calibri" w:hAnsi="Times New Roman" w:cs="Times New Roman"/>
          <w:b/>
          <w:i/>
          <w:color w:val="auto"/>
          <w:lang w:val="pt-BR" w:eastAsia="en-US"/>
        </w:rPr>
      </w:pPr>
      <w:r w:rsidRPr="005F0522">
        <w:rPr>
          <w:rFonts w:ascii="Times New Roman" w:eastAsia="Calibri" w:hAnsi="Times New Roman" w:cs="Times New Roman"/>
          <w:b/>
          <w:i/>
          <w:color w:val="auto"/>
          <w:lang w:val="pt-BR" w:eastAsia="en-US"/>
        </w:rPr>
        <w:t>Turnos ininterruptos de revezamento. Jornada especial de 2x2x4. Previsão em acordo coletivo. Validade. Matéria suspensa para apreciação do Tribunal Pleno.</w:t>
      </w:r>
    </w:p>
    <w:p w:rsidR="005F0522" w:rsidRPr="005F0522" w:rsidRDefault="005F0522" w:rsidP="005F0522">
      <w:pPr>
        <w:jc w:val="both"/>
        <w:rPr>
          <w:sz w:val="24"/>
          <w:szCs w:val="24"/>
          <w:u w:val="single"/>
        </w:rPr>
      </w:pPr>
      <w:r w:rsidRPr="005F0522">
        <w:rPr>
          <w:sz w:val="24"/>
          <w:szCs w:val="24"/>
        </w:rPr>
        <w:t xml:space="preserve">A SBDI-I, em sua composição plena, por maioria, nos termos dos arts. 89, II, e 140, § 3º, do RITST, decidiu suspender a proclamação do resultado do julgamento para remeter os autos ao Tribunal Pleno para que seja proferido novo julgamento no recurso de embargos em que se discute a validade do acordo coletivo que fixa jornada de trabalho especial em escala de 2x2x4, na qual o </w:t>
      </w:r>
      <w:r w:rsidRPr="005F0522">
        <w:rPr>
          <w:sz w:val="24"/>
          <w:szCs w:val="24"/>
        </w:rPr>
        <w:lastRenderedPageBreak/>
        <w:t xml:space="preserve">empregado trabalha dois dias de 7:10 às 19:10, com uma hora de intervalo para refeição e 15 minutos para o lanche, totalizando 10h45 de trabalho efetivo; dois dias de 19:10 às 7:10, com uma hora de intervalo para refeição e 15 minutos para o lanche, totalizando 10h45 de trabalho efetivo e folga de quatro dias consecutivos. Vencidos os Ministros Brito Pereira, Márcio Eurico Vitral Amaro e Augusto César Leite de Carvalho. Na espécie, os Ministros Brito Pereira, relator, Maria Cristina Irigoyen Peduzzi, Luiz Philippe Vieira de Mello Filho, Márcio Eurico Vitral Amaro, Cláudio Mascarenhas Brandão, Breno Medeiros e Alexandre Luiz Ramos votaram no sentido de conhecer do recurso de embargos, por divergência jurisprudencial, e, no mérito, dar-lhe provimento para, reconhecendo a validade do acordo coletivo, excluir da condenação o respectivo pagamento de horas extras e reflexos. De outra sorte, os Ministros Augusto César Leite de Carvalho, Renato de Lacerda Paiva, Lelio Bentes Corrêa, Alberto Luiz Bresciani de Fontan Pereira, Walmir Oliveira da Costa, José Roberto Freire Pimenta e Hugo Carlos Scheuermann votaram no sentido de conhecer dos embargos, por divergência jurisprudencial, e, no mérito, negar-lhes provimento para manter a decisão do Regional que declarou a invalidade da jornada avençada, ante a incidência da Súmula nº 423 do TST ao caso concreto. Decidiu-se, ademais, determinar a suspensão de todos os processos envolvendo a matéria em apreço, até a conclusão do julgamento pelo Tribunal Pleno. </w:t>
      </w:r>
      <w:hyperlink r:id="rId13" w:history="1">
        <w:r w:rsidRPr="005F0522">
          <w:rPr>
            <w:rStyle w:val="Hyperlink"/>
            <w:sz w:val="24"/>
            <w:szCs w:val="24"/>
          </w:rPr>
          <w:t>TST-E-ED-RR-10725-92.2015.5.03.0073</w:t>
        </w:r>
      </w:hyperlink>
      <w:r w:rsidRPr="005F0522">
        <w:rPr>
          <w:sz w:val="24"/>
          <w:szCs w:val="24"/>
          <w:u w:val="single"/>
        </w:rPr>
        <w:t>, SBDI-I, rel. Min. Brito Pereira, 21.2.2019</w:t>
      </w:r>
    </w:p>
    <w:p w:rsidR="005F0522" w:rsidRPr="005F0522" w:rsidRDefault="005F0522" w:rsidP="005F0522">
      <w:pPr>
        <w:jc w:val="both"/>
        <w:rPr>
          <w:sz w:val="24"/>
          <w:szCs w:val="24"/>
          <w:u w:val="single"/>
        </w:rPr>
      </w:pPr>
    </w:p>
    <w:p w:rsidR="005F0522" w:rsidRPr="005F0522" w:rsidRDefault="005F0522" w:rsidP="005F0522">
      <w:pPr>
        <w:pStyle w:val="Identificao"/>
        <w:rPr>
          <w:rFonts w:ascii="Courier" w:hAnsi="Courier" w:cs="Courier"/>
          <w:lang w:val="pt-BR"/>
        </w:rPr>
      </w:pPr>
      <w:r w:rsidRPr="005F0522">
        <w:rPr>
          <w:rFonts w:ascii="Times New Roman" w:eastAsia="Calibri" w:hAnsi="Times New Roman" w:cs="Times New Roman"/>
          <w:b/>
          <w:i/>
          <w:color w:val="auto"/>
          <w:lang w:val="pt-BR" w:eastAsia="en-US"/>
        </w:rPr>
        <w:t>CEF. Gerente-geral de agência. PCS 1989. Jornada de trabalho de seis horas. Inaplicabilidade</w:t>
      </w:r>
      <w:r w:rsidRPr="005F0522">
        <w:rPr>
          <w:rFonts w:ascii="Courier" w:hAnsi="Courier" w:cs="Courier"/>
          <w:lang w:val="pt-BR"/>
        </w:rPr>
        <w:t>.</w:t>
      </w:r>
    </w:p>
    <w:p w:rsidR="005F0522" w:rsidRPr="005F0522" w:rsidRDefault="005F0522" w:rsidP="005F0522">
      <w:pPr>
        <w:pStyle w:val="Identificao"/>
        <w:rPr>
          <w:rFonts w:ascii="Times New Roman" w:hAnsi="Times New Roman" w:cs="Times New Roman"/>
          <w:color w:val="auto"/>
          <w:u w:val="single"/>
          <w:lang w:val="pt-BR"/>
        </w:rPr>
      </w:pPr>
      <w:r w:rsidRPr="005F0522">
        <w:rPr>
          <w:rFonts w:ascii="Times New Roman" w:hAnsi="Times New Roman" w:cs="Times New Roman"/>
          <w:color w:val="auto"/>
          <w:lang w:val="pt-BR"/>
        </w:rPr>
        <w:t>O cargo de gerente-geral de agência não se submete à norma do PCS 1989 da Caixa Econômica Federal – CEF, que fixou de forma genérica para os “gerentes” a jornada de trabalho de seis horas. Por força da Súmula nº 287 do TST, o gerente-geral está excluído do regime de duração normal do trabalho do art. 62 da CLT, de modo que a ele não são devidas as horas extras excedentes a sexta diária.</w:t>
      </w:r>
      <w:r w:rsidRPr="005F0522">
        <w:rPr>
          <w:rFonts w:ascii="Courier" w:hAnsi="Courier" w:cs="Courier"/>
          <w:lang w:val="pt-BR"/>
        </w:rPr>
        <w:t xml:space="preserve"> </w:t>
      </w:r>
      <w:r w:rsidRPr="005F0522">
        <w:rPr>
          <w:rFonts w:ascii="Times New Roman" w:hAnsi="Times New Roman" w:cs="Times New Roman"/>
          <w:color w:val="auto"/>
          <w:lang w:val="pt-BR"/>
        </w:rPr>
        <w:t xml:space="preserve">Sob esse entendimento, a SBDI-I, em sua composição plena, por unanimidade, conheceu dos embargos, por divergência jurisprudencial, e, no mérito, por maioria, negou-lhe provimento. Vencidos os Ministros Augusto César Leite de Carvalho, relator, José Roberto Freire Pimenta, Emmanoel Pereira, Lelio Bentes Corrêa e Hugo Carlos Scheuermann, os quais davam provimento ao recurso ao fundamento de que a norma da CEF, ao não fazer distinção entre o tipo de gerência, abrange os empregados enquadrados tanto no art. 224, § 2º, da CLT, quanto no art. 62, II, do mesmo diploma legal. </w:t>
      </w:r>
      <w:hyperlink r:id="rId14" w:history="1">
        <w:r w:rsidRPr="005F0522">
          <w:rPr>
            <w:rStyle w:val="Hyperlink"/>
            <w:rFonts w:ascii="Times New Roman" w:hAnsi="Times New Roman"/>
            <w:lang w:val="pt-BR"/>
          </w:rPr>
          <w:t>TST-E-ED-ARR-59-56.2012.5.12.0018</w:t>
        </w:r>
      </w:hyperlink>
      <w:r w:rsidRPr="005F0522">
        <w:rPr>
          <w:rFonts w:ascii="Times New Roman" w:hAnsi="Times New Roman" w:cs="Times New Roman"/>
          <w:color w:val="auto"/>
          <w:u w:val="single"/>
          <w:lang w:val="pt-BR"/>
        </w:rPr>
        <w:t>, SBDI-I, rel. Min. Augusto César Leite de Carvalho, red. p/ acórdão Min. Cláudio Mascarenhas Brandão, 21.2.2019</w:t>
      </w:r>
    </w:p>
    <w:p w:rsidR="005F0522" w:rsidRPr="005F0522" w:rsidRDefault="005F0522" w:rsidP="005F0522">
      <w:pPr>
        <w:jc w:val="both"/>
        <w:rPr>
          <w:sz w:val="24"/>
          <w:szCs w:val="24"/>
          <w:u w:val="single"/>
        </w:rPr>
      </w:pPr>
    </w:p>
    <w:p w:rsidR="005F0522" w:rsidRPr="005F0522" w:rsidRDefault="005F0522" w:rsidP="005F0522">
      <w:pPr>
        <w:pStyle w:val="Identificao"/>
        <w:rPr>
          <w:rFonts w:ascii="Courier" w:hAnsi="Courier" w:cs="Courier"/>
          <w:lang w:val="pt-BR"/>
        </w:rPr>
      </w:pPr>
      <w:r w:rsidRPr="005F0522">
        <w:rPr>
          <w:rFonts w:ascii="Times New Roman" w:eastAsia="Calibri" w:hAnsi="Times New Roman" w:cs="Times New Roman"/>
          <w:b/>
          <w:i/>
          <w:color w:val="auto"/>
          <w:lang w:val="pt-BR" w:eastAsia="en-US"/>
        </w:rPr>
        <w:t xml:space="preserve">Sociedade de economia mista. Empregado público. Contratação sem concurso público sob o regime da CLT. Cargo em comissão de livre nomeação e exoneração. Verbas rescisórias decorrentes da dispensa imotivada. Indevidas. </w:t>
      </w:r>
    </w:p>
    <w:p w:rsidR="005F0522" w:rsidRDefault="005F0522" w:rsidP="005F0522">
      <w:pPr>
        <w:pStyle w:val="Identificao"/>
        <w:rPr>
          <w:rFonts w:ascii="Times New Roman" w:hAnsi="Times New Roman" w:cs="Times New Roman"/>
          <w:color w:val="auto"/>
          <w:u w:val="single"/>
          <w:lang w:val="pt-BR"/>
        </w:rPr>
      </w:pPr>
      <w:r w:rsidRPr="005F0522">
        <w:rPr>
          <w:rFonts w:ascii="Times New Roman" w:hAnsi="Times New Roman" w:cs="Times New Roman"/>
          <w:color w:val="auto"/>
          <w:lang w:val="pt-BR"/>
        </w:rPr>
        <w:t xml:space="preserve">Conforme a jurisprudência pacífica da SBDI-I e das Turmas do TST, os empregados públicos contratados sem concurso público, sob o regime da CLT, para o exercício de cargo em comissão, de livre nomeação e exoneração, não têm direito ao pagamento das verbas rescisórias decorrentes da dispensa imotivada. Sob esse entendimento, a SBDI-I, em sua composição plena, por maioria, não conheceu do recurso de embargos em que empregada da Companhia Paulista de Trens Metropolitanos – CPTM, sociedade de economia mista, admitida para o exercício de cargo em comissão, sem concurso, pleiteava o recebimento da indenização de 40% do FGTS e do aviso-prévio indenizado em decorrência de sua demissão sem justa causa. Vencidos os Ministros Luiz Philippe de Mello Filho, relator, Walmir Oliveira da Costa, Augusto César Leite de Carvalho e José Roberto Freire Pimenta, os quais conheciam e davam provimento ao recurso para restabelecer a decisão do TRT que mantivera a sentença quanto ao direito da reclamante ao pagamento das verbas rescisórias pleiteadas, visto que os empregados em comissão das estatais são regidos pela CLT (art. 173, § 1º, II, da CF) e não houve derrogação expressa ou implícita dos direitos trabalhistas mínimos ali previstos. </w:t>
      </w:r>
      <w:hyperlink r:id="rId15" w:history="1">
        <w:r w:rsidRPr="005F0522">
          <w:rPr>
            <w:rStyle w:val="Hyperlink"/>
            <w:rFonts w:ascii="Times New Roman" w:hAnsi="Times New Roman"/>
            <w:lang w:val="pt-BR"/>
          </w:rPr>
          <w:t>TST-E-ARR-1642-58.2015.5.02.0080</w:t>
        </w:r>
      </w:hyperlink>
      <w:r w:rsidRPr="005F0522">
        <w:rPr>
          <w:rFonts w:ascii="Times New Roman" w:hAnsi="Times New Roman" w:cs="Times New Roman"/>
          <w:color w:val="auto"/>
          <w:u w:val="single"/>
          <w:lang w:val="pt-BR"/>
        </w:rPr>
        <w:t>, SBDI-I, rel. Min. Luiz Philippe Vieira de Mello Filho, red. p/ acórdão Min. Maria Cristina Irigoyen Peduzzi, 21.2.2019</w:t>
      </w:r>
    </w:p>
    <w:p w:rsidR="005F0522" w:rsidRPr="00D767C9" w:rsidRDefault="005F0522" w:rsidP="005F0522">
      <w:pPr>
        <w:jc w:val="both"/>
        <w:rPr>
          <w:b/>
          <w:i/>
          <w:sz w:val="24"/>
          <w:szCs w:val="24"/>
        </w:rPr>
      </w:pPr>
      <w:r w:rsidRPr="00D767C9">
        <w:rPr>
          <w:b/>
          <w:i/>
          <w:sz w:val="24"/>
          <w:szCs w:val="24"/>
        </w:rPr>
        <w:lastRenderedPageBreak/>
        <w:t xml:space="preserve">Prescrição. Arguição em defesa. Afastamento pelo Juízo de primeiro grau. Improcedência dos pedidos iniciais. Efeito devolutivo em profundidade do recurso da parte sucumbente no pedido principal. Desnecessidade de renovação da prescrição em recurso adesivo ou em contrarrazões. </w:t>
      </w:r>
    </w:p>
    <w:p w:rsidR="005F0522" w:rsidRDefault="005F0522" w:rsidP="005F0522">
      <w:pPr>
        <w:jc w:val="both"/>
        <w:rPr>
          <w:sz w:val="24"/>
          <w:szCs w:val="24"/>
        </w:rPr>
      </w:pPr>
      <w:r w:rsidRPr="00D767C9">
        <w:rPr>
          <w:sz w:val="24"/>
          <w:szCs w:val="24"/>
        </w:rPr>
        <w:t xml:space="preserve">O Tribunal Regional do Trabalho pode conhecer da prejudicial de prescrição arguida em defesa, ainda que não renovada por meio de recurso adesivo ou em contrarrazões ao recurso ordinário, quando julgados improcedentes os pedidos do reclamante. O efeito devolutivo do recurso ordinário é amplo e, consequentemente, admite o conhecimento da matéria impugnada, assim como de todas as questões suscitadas e discutidas no processo, ainda que o Juízo de primeiro grau não as tenha julgado por inteiro. Assim, no caso concreto, mesmo diante da não interposição de recurso adesivo, cabia ao TRT conhecer da prejudicial de prescrição arguida em contrarrazões pela reclamada. Sob esses fundamentos, a SBDI-I, em sua composição plena, por unanimidade, conheceu do recurso de embargos, por divergência jurisprudencial, e, no mérito, por maioria, deu-lhe provimento para reconhecer a possibilidade de exame, pelo Tribunal Regional, da prescrição renovada em contrarrazões ao recurso ordinário, e determinar o retorno dos autos à Turma a fim de que prossiga no exame do recurso de revista, como entender de direito. Vencidos os Ministros Renato de Lacerda Paiva, Walmir Oliveira da Costa, José Roberto Freire Pimenta e Hugo Carlos Scheuermann, os quais negavam provimento ao recurso ao entendimento de que, </w:t>
      </w:r>
      <w:r>
        <w:rPr>
          <w:sz w:val="24"/>
          <w:szCs w:val="24"/>
        </w:rPr>
        <w:t>na espécie</w:t>
      </w:r>
      <w:r w:rsidRPr="00D767C9">
        <w:rPr>
          <w:sz w:val="24"/>
          <w:szCs w:val="24"/>
        </w:rPr>
        <w:t>, permitir que uma prejudicial de mérito seja arguida apenas em sede de contrarrazões ao recurso ordinário significa inviabilizar ao reclamante o exercício do contraditório e da ampla defesa.</w:t>
      </w:r>
      <w:r w:rsidRPr="00D767C9">
        <w:rPr>
          <w:color w:val="004200"/>
          <w:sz w:val="24"/>
          <w:szCs w:val="24"/>
        </w:rPr>
        <w:t xml:space="preserve"> </w:t>
      </w:r>
      <w:hyperlink r:id="rId16" w:history="1">
        <w:r w:rsidRPr="00D767C9">
          <w:rPr>
            <w:rStyle w:val="Hyperlink"/>
            <w:sz w:val="24"/>
            <w:szCs w:val="24"/>
          </w:rPr>
          <w:t>TST-E-ED-RR-103900-80.2012.5.17.0001</w:t>
        </w:r>
      </w:hyperlink>
      <w:r w:rsidRPr="00D767C9">
        <w:rPr>
          <w:color w:val="000000"/>
          <w:sz w:val="24"/>
          <w:szCs w:val="24"/>
          <w:u w:val="single"/>
        </w:rPr>
        <w:t xml:space="preserve">, SBDI-I, rel. Min. Cláudio Mascarenhas Brandão, </w:t>
      </w:r>
      <w:smartTag w:uri="urn:schemas-microsoft-com:office:smarttags" w:element="date">
        <w:smartTagPr>
          <w:attr w:name="ls" w:val="trans"/>
          <w:attr w:name="Month" w:val="2"/>
          <w:attr w:name="Day" w:val="21"/>
          <w:attr w:name="Year" w:val="2019"/>
        </w:smartTagPr>
        <w:r w:rsidRPr="00D767C9">
          <w:rPr>
            <w:color w:val="000000"/>
            <w:sz w:val="24"/>
            <w:szCs w:val="24"/>
            <w:u w:val="single"/>
          </w:rPr>
          <w:t>21.2.2019</w:t>
        </w:r>
      </w:smartTag>
      <w:r>
        <w:rPr>
          <w:color w:val="000000"/>
          <w:sz w:val="24"/>
          <w:szCs w:val="24"/>
          <w:u w:val="single"/>
        </w:rPr>
        <w:t xml:space="preserve"> </w:t>
      </w:r>
      <w:r w:rsidRPr="00C328F4">
        <w:t>(*Cf. Informativo</w:t>
      </w:r>
      <w:r>
        <w:t>s</w:t>
      </w:r>
      <w:r w:rsidRPr="00C328F4">
        <w:t xml:space="preserve"> TST nº</w:t>
      </w:r>
      <w:r w:rsidRPr="00014844">
        <w:rPr>
          <w:vertAlign w:val="superscript"/>
        </w:rPr>
        <w:t>s</w:t>
      </w:r>
      <w:r w:rsidRPr="00C328F4">
        <w:t xml:space="preserve"> </w:t>
      </w:r>
      <w:hyperlink r:id="rId17" w:history="1">
        <w:r w:rsidRPr="005F0522">
          <w:rPr>
            <w:rStyle w:val="Hyperlink"/>
          </w:rPr>
          <w:t>13</w:t>
        </w:r>
      </w:hyperlink>
      <w:r>
        <w:t xml:space="preserve"> e </w:t>
      </w:r>
      <w:hyperlink r:id="rId18" w:history="1">
        <w:r w:rsidRPr="005F0522">
          <w:rPr>
            <w:rStyle w:val="Hyperlink"/>
          </w:rPr>
          <w:t>58</w:t>
        </w:r>
      </w:hyperlink>
      <w:r>
        <w:t>)</w:t>
      </w:r>
    </w:p>
    <w:p w:rsidR="005F0522" w:rsidRDefault="005F0522" w:rsidP="005F0522"/>
    <w:p w:rsidR="005F0522" w:rsidRDefault="005F0522" w:rsidP="005F0522">
      <w:pPr>
        <w:jc w:val="both"/>
        <w:rPr>
          <w:sz w:val="24"/>
          <w:szCs w:val="24"/>
          <w:u w:val="single"/>
        </w:rPr>
      </w:pPr>
    </w:p>
    <w:p w:rsidR="0018640B" w:rsidRDefault="0018640B" w:rsidP="00EC04A5">
      <w:pPr>
        <w:jc w:val="both"/>
        <w:rPr>
          <w:u w:val="single"/>
        </w:rPr>
      </w:pPr>
    </w:p>
    <w:p w:rsidR="0018640B" w:rsidRDefault="0018640B" w:rsidP="00EC04A5">
      <w:pPr>
        <w:jc w:val="both"/>
        <w:rPr>
          <w:u w:val="single"/>
        </w:rPr>
      </w:pPr>
    </w:p>
    <w:p w:rsidR="0041353C" w:rsidRDefault="0041353C" w:rsidP="00EC04A5">
      <w:pPr>
        <w:jc w:val="both"/>
        <w:rPr>
          <w:u w:val="single"/>
        </w:rPr>
      </w:pPr>
    </w:p>
    <w:p w:rsidR="0041353C" w:rsidRPr="002834D2" w:rsidRDefault="0041353C"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19"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20"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21"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2"/>
      <w:footerReference w:type="default" r:id="rId23"/>
      <w:headerReference w:type="first" r:id="rId24"/>
      <w:footerReference w:type="first" r:id="rId2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78" w:rsidRDefault="00454078">
      <w:r>
        <w:separator/>
      </w:r>
    </w:p>
  </w:endnote>
  <w:endnote w:type="continuationSeparator" w:id="0">
    <w:p w:rsidR="00454078" w:rsidRDefault="0045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5F0522">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6192">
      <w:rPr>
        <w:rStyle w:val="Nmerodepgina"/>
        <w:noProof/>
      </w:rPr>
      <w:t>3</w:t>
    </w:r>
    <w:r>
      <w:rPr>
        <w:rStyle w:val="Nmerodepgina"/>
      </w:rPr>
      <w:fldChar w:fldCharType="end"/>
    </w:r>
  </w:p>
  <w:p w:rsidR="005F0522" w:rsidRDefault="00006192">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006192">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5F0522">
      <w:rPr>
        <w:rStyle w:val="Nmerodepgina"/>
      </w:rPr>
      <w:fldChar w:fldCharType="begin"/>
    </w:r>
    <w:r w:rsidR="005F0522">
      <w:rPr>
        <w:rStyle w:val="Nmerodepgina"/>
      </w:rPr>
      <w:instrText xml:space="preserve"> PAGE </w:instrText>
    </w:r>
    <w:r w:rsidR="005F0522">
      <w:rPr>
        <w:rStyle w:val="Nmerodepgina"/>
      </w:rPr>
      <w:fldChar w:fldCharType="separate"/>
    </w:r>
    <w:r>
      <w:rPr>
        <w:rStyle w:val="Nmerodepgina"/>
        <w:noProof/>
      </w:rPr>
      <w:t>1</w:t>
    </w:r>
    <w:r w:rsidR="005F0522">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78" w:rsidRDefault="00454078">
      <w:r>
        <w:separator/>
      </w:r>
    </w:p>
  </w:footnote>
  <w:footnote w:type="continuationSeparator" w:id="0">
    <w:p w:rsidR="00454078" w:rsidRDefault="0045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Pr="00006192" w:rsidRDefault="005F0522">
    <w:pPr>
      <w:pStyle w:val="Corpodetexto"/>
      <w:jc w:val="right"/>
      <w:rPr>
        <w:sz w:val="24"/>
        <w:szCs w:val="24"/>
        <w14:shadow w14:blurRad="50800" w14:dist="38100" w14:dir="2700000" w14:sx="100000" w14:sy="100000" w14:kx="0" w14:ky="0" w14:algn="tl">
          <w14:srgbClr w14:val="000000">
            <w14:alpha w14:val="60000"/>
          </w14:srgbClr>
        </w14:shadow>
      </w:rPr>
    </w:pPr>
    <w:r w:rsidRPr="00006192">
      <w:rPr>
        <w:sz w:val="24"/>
        <w:szCs w:val="24"/>
        <w14:shadow w14:blurRad="50800" w14:dist="38100" w14:dir="2700000" w14:sx="100000" w14:sy="100000" w14:kx="0" w14:ky="0" w14:algn="tl">
          <w14:srgbClr w14:val="000000">
            <w14:alpha w14:val="60000"/>
          </w14:srgbClr>
        </w14:shadow>
      </w:rPr>
      <w:t>Informativo TST - nº 191</w:t>
    </w:r>
  </w:p>
  <w:p w:rsidR="005F0522" w:rsidRDefault="00006192"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5F0522" w:rsidRPr="003C0554">
      <w:rPr>
        <w:iCs/>
      </w:rPr>
      <w:t xml:space="preserve"> </w:t>
    </w:r>
    <w:r w:rsidR="005F0522">
      <w:rPr>
        <w:i/>
        <w:iCs/>
      </w:rPr>
      <w:t>Período: 19 de fevereiro a 1º de março de 2019</w:t>
    </w:r>
  </w:p>
  <w:p w:rsidR="005F0522" w:rsidRPr="005D1DE4" w:rsidRDefault="005F0522"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22" w:rsidRDefault="005F052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006192">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5F0522" w:rsidRPr="002168DE" w:rsidRDefault="005F0522"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191 </w:t>
    </w:r>
  </w:p>
  <w:p w:rsidR="005F0522" w:rsidRPr="005D1DE4" w:rsidRDefault="005F0522">
    <w:pPr>
      <w:pStyle w:val="Cabealho"/>
      <w:jc w:val="right"/>
      <w:rPr>
        <w:i/>
        <w:iCs/>
        <w:sz w:val="10"/>
        <w:szCs w:val="10"/>
      </w:rPr>
    </w:pPr>
  </w:p>
  <w:p w:rsidR="005F0522" w:rsidRDefault="005F0522" w:rsidP="009A16E8">
    <w:pPr>
      <w:pStyle w:val="Cabealho"/>
      <w:jc w:val="right"/>
      <w:rPr>
        <w:i/>
        <w:iCs/>
      </w:rPr>
    </w:pPr>
    <w:r>
      <w:rPr>
        <w:i/>
        <w:iCs/>
      </w:rPr>
      <w:t>Período: 19 de fevereiro a 1º de março de 2019</w:t>
    </w:r>
  </w:p>
  <w:p w:rsidR="005F0522" w:rsidRDefault="005F0522"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06192"/>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18BC"/>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B289E"/>
    <w:rsid w:val="009B320F"/>
    <w:rsid w:val="009B6012"/>
    <w:rsid w:val="009B6455"/>
    <w:rsid w:val="009C0EBA"/>
    <w:rsid w:val="009C102D"/>
    <w:rsid w:val="009C2A4F"/>
    <w:rsid w:val="009C4834"/>
    <w:rsid w:val="009D10FB"/>
    <w:rsid w:val="009D1BDE"/>
    <w:rsid w:val="009D232F"/>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C06"/>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725&amp;digitoTst=92&amp;anoTst=2015&amp;orgaoTst=5&amp;tribunalTst=03&amp;varaTst=0073" TargetMode="External"/><Relationship Id="rId18" Type="http://schemas.openxmlformats.org/officeDocument/2006/relationships/hyperlink" Target="https://hdl.handle.net/20.500.12178/9575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2201&amp;digitoTst=91&amp;anoTst=2016&amp;orgaoTst=5&amp;tribunalTst=04&amp;varaTst=0000" TargetMode="External"/><Relationship Id="rId17" Type="http://schemas.openxmlformats.org/officeDocument/2006/relationships/hyperlink" Target="https://hdl.handle.net/20.500.12178/9568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3900&amp;digitoTst=80&amp;anoTst=2012&amp;orgaoTst=5&amp;tribunalTst=17&amp;varaTst=0001" TargetMode="External"/><Relationship Id="rId20" Type="http://schemas.openxmlformats.org/officeDocument/2006/relationships/hyperlink" Target="http://www.tst.jus.br/informativ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dl.handle.net/20.500.12178/9568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642&amp;digitoTst=58&amp;anoTst=2015&amp;orgaoTst=5&amp;tribunalTst=02&amp;varaTst=0080" TargetMode="External"/><Relationship Id="rId23" Type="http://schemas.openxmlformats.org/officeDocument/2006/relationships/footer" Target="footer1.xml"/><Relationship Id="rId10" Type="http://schemas.openxmlformats.org/officeDocument/2006/relationships/hyperlink" Target="https://hdl.handle.net/20.500.12178/95672"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13&amp;digitoTst=66&amp;anoTst=2017&amp;orgaoTst=5&amp;tribunalTst=08&amp;varaTst=0000&amp;submit=Consultar" TargetMode="External"/><Relationship Id="rId14" Type="http://schemas.openxmlformats.org/officeDocument/2006/relationships/hyperlink" Target="http://aplicacao4.tst.jus.br/consultaProcessual/consultaTstNumUnica.do?consulta=Consultar&amp;conscsjt=&amp;numeroTst=59&amp;digitoTst=56&amp;anoTst=2012&amp;orgaoTst=5&amp;tribunalTst=12&amp;varaTst=0018"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24CFE-BBDD-41A4-AF1D-D4471D0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1840</Words>
  <Characters>9938</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11755</CharactersWithSpaces>
  <SharedDoc>false</SharedDoc>
  <HLinks>
    <vt:vector size="78" baseType="variant">
      <vt:variant>
        <vt:i4>6422567</vt:i4>
      </vt:variant>
      <vt:variant>
        <vt:i4>36</vt:i4>
      </vt:variant>
      <vt:variant>
        <vt:i4>0</vt:i4>
      </vt:variant>
      <vt:variant>
        <vt:i4>5</vt:i4>
      </vt:variant>
      <vt:variant>
        <vt:lpwstr>http://www.tst.jus.br/push</vt:lpwstr>
      </vt:variant>
      <vt:variant>
        <vt:lpwstr/>
      </vt:variant>
      <vt:variant>
        <vt:i4>6422590</vt:i4>
      </vt:variant>
      <vt:variant>
        <vt:i4>33</vt:i4>
      </vt:variant>
      <vt:variant>
        <vt:i4>0</vt:i4>
      </vt:variant>
      <vt:variant>
        <vt:i4>5</vt:i4>
      </vt:variant>
      <vt:variant>
        <vt:lpwstr>http://www.tst.jus.br/informativos</vt:lpwstr>
      </vt:variant>
      <vt:variant>
        <vt:lpwstr/>
      </vt:variant>
      <vt:variant>
        <vt:i4>4194345</vt:i4>
      </vt:variant>
      <vt:variant>
        <vt:i4>30</vt:i4>
      </vt:variant>
      <vt:variant>
        <vt:i4>0</vt:i4>
      </vt:variant>
      <vt:variant>
        <vt:i4>5</vt:i4>
      </vt:variant>
      <vt:variant>
        <vt:lpwstr>mailto:cjur@tst.jus.br</vt:lpwstr>
      </vt:variant>
      <vt:variant>
        <vt:lpwstr/>
      </vt:variant>
      <vt:variant>
        <vt:i4>589897</vt:i4>
      </vt:variant>
      <vt:variant>
        <vt:i4>27</vt:i4>
      </vt:variant>
      <vt:variant>
        <vt:i4>0</vt:i4>
      </vt:variant>
      <vt:variant>
        <vt:i4>5</vt:i4>
      </vt:variant>
      <vt:variant>
        <vt:lpwstr>https://hdl.handle.net/20.500.12178/95755</vt:lpwstr>
      </vt:variant>
      <vt:variant>
        <vt:lpwstr/>
      </vt:variant>
      <vt:variant>
        <vt:i4>262216</vt:i4>
      </vt:variant>
      <vt:variant>
        <vt:i4>24</vt:i4>
      </vt:variant>
      <vt:variant>
        <vt:i4>0</vt:i4>
      </vt:variant>
      <vt:variant>
        <vt:i4>5</vt:i4>
      </vt:variant>
      <vt:variant>
        <vt:lpwstr>https://hdl.handle.net/20.500.12178/95689</vt:lpwstr>
      </vt:variant>
      <vt:variant>
        <vt:lpwstr/>
      </vt:variant>
      <vt:variant>
        <vt:i4>1245253</vt:i4>
      </vt:variant>
      <vt:variant>
        <vt:i4>21</vt:i4>
      </vt:variant>
      <vt:variant>
        <vt:i4>0</vt:i4>
      </vt:variant>
      <vt:variant>
        <vt:i4>5</vt:i4>
      </vt:variant>
      <vt:variant>
        <vt:lpwstr>http://aplicacao4.tst.jus.br/consultaProcessual/consultaTstNumUnica.do?consulta=Consultar&amp;conscsjt=&amp;numeroTst=103900&amp;digitoTst=80&amp;anoTst=2012&amp;orgaoTst=5&amp;tribunalTst=17&amp;varaTst=0001</vt:lpwstr>
      </vt:variant>
      <vt:variant>
        <vt:lpwstr/>
      </vt:variant>
      <vt:variant>
        <vt:i4>2293872</vt:i4>
      </vt:variant>
      <vt:variant>
        <vt:i4>18</vt:i4>
      </vt:variant>
      <vt:variant>
        <vt:i4>0</vt:i4>
      </vt:variant>
      <vt:variant>
        <vt:i4>5</vt:i4>
      </vt:variant>
      <vt:variant>
        <vt:lpwstr>http://aplicacao4.tst.jus.br/consultaProcessual/consultaTstNumUnica.do?consulta=Consultar&amp;conscsjt=&amp;numeroTst=1642&amp;digitoTst=58&amp;anoTst=2015&amp;orgaoTst=5&amp;tribunalTst=02&amp;varaTst=0080</vt:lpwstr>
      </vt:variant>
      <vt:variant>
        <vt:lpwstr/>
      </vt:variant>
      <vt:variant>
        <vt:i4>1507392</vt:i4>
      </vt:variant>
      <vt:variant>
        <vt:i4>15</vt:i4>
      </vt:variant>
      <vt:variant>
        <vt:i4>0</vt:i4>
      </vt:variant>
      <vt:variant>
        <vt:i4>5</vt:i4>
      </vt:variant>
      <vt:variant>
        <vt:lpwstr>http://aplicacao4.tst.jus.br/consultaProcessual/consultaTstNumUnica.do?consulta=Consultar&amp;conscsjt=&amp;numeroTst=59&amp;digitoTst=56&amp;anoTst=2012&amp;orgaoTst=5&amp;tribunalTst=12&amp;varaTst=0018</vt:lpwstr>
      </vt:variant>
      <vt:variant>
        <vt:lpwstr/>
      </vt:variant>
      <vt:variant>
        <vt:i4>7209013</vt:i4>
      </vt:variant>
      <vt:variant>
        <vt:i4>12</vt:i4>
      </vt:variant>
      <vt:variant>
        <vt:i4>0</vt:i4>
      </vt:variant>
      <vt:variant>
        <vt:i4>5</vt:i4>
      </vt:variant>
      <vt:variant>
        <vt:lpwstr>http://aplicacao4.tst.jus.br/consultaProcessual/consultaTstNumUnica.do?consulta=Consultar&amp;conscsjt=&amp;numeroTst=10725&amp;digitoTst=92&amp;anoTst=2015&amp;orgaoTst=5&amp;tribunalTst=03&amp;varaTst=0073</vt:lpwstr>
      </vt:variant>
      <vt:variant>
        <vt:lpwstr/>
      </vt:variant>
      <vt:variant>
        <vt:i4>7209015</vt:i4>
      </vt:variant>
      <vt:variant>
        <vt:i4>9</vt:i4>
      </vt:variant>
      <vt:variant>
        <vt:i4>0</vt:i4>
      </vt:variant>
      <vt:variant>
        <vt:i4>5</vt:i4>
      </vt:variant>
      <vt:variant>
        <vt:lpwstr>http://aplicacao4.tst.jus.br/consultaProcessual/consultaTstNumUnica.do?consulta=Consultar&amp;conscsjt=&amp;numeroTst=22201&amp;digitoTst=91&amp;anoTst=2016&amp;orgaoTst=5&amp;tribunalTst=04&amp;varaTst=0000</vt:lpwstr>
      </vt:variant>
      <vt:variant>
        <vt:lpwstr/>
      </vt:variant>
      <vt:variant>
        <vt:i4>262216</vt:i4>
      </vt:variant>
      <vt:variant>
        <vt:i4>6</vt:i4>
      </vt:variant>
      <vt:variant>
        <vt:i4>0</vt:i4>
      </vt:variant>
      <vt:variant>
        <vt:i4>5</vt:i4>
      </vt:variant>
      <vt:variant>
        <vt:lpwstr>https://hdl.handle.net/20.500.12178/95685</vt:lpwstr>
      </vt:variant>
      <vt:variant>
        <vt:lpwstr/>
      </vt:variant>
      <vt:variant>
        <vt:i4>720968</vt:i4>
      </vt:variant>
      <vt:variant>
        <vt:i4>3</vt:i4>
      </vt:variant>
      <vt:variant>
        <vt:i4>0</vt:i4>
      </vt:variant>
      <vt:variant>
        <vt:i4>5</vt:i4>
      </vt:variant>
      <vt:variant>
        <vt:lpwstr>https://hdl.handle.net/20.500.12178/95672</vt:lpwstr>
      </vt:variant>
      <vt:variant>
        <vt:lpwstr/>
      </vt:variant>
      <vt:variant>
        <vt:i4>6488172</vt:i4>
      </vt:variant>
      <vt:variant>
        <vt:i4>0</vt:i4>
      </vt:variant>
      <vt:variant>
        <vt:i4>0</vt:i4>
      </vt:variant>
      <vt:variant>
        <vt:i4>5</vt:i4>
      </vt:variant>
      <vt:variant>
        <vt:lpwstr>http://aplicacao4.tst.jus.br/consultaProcessual/consultaTstNumUnica.do?consulta=Consultar&amp;conscsjt=&amp;numeroTst=213&amp;digitoTst=66&amp;anoTst=2017&amp;orgaoTst=5&amp;tribunalTst=08&amp;varaTst=0000&amp;submit=Consultar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2017-03-06T19:28:00Z</cp:lastPrinted>
  <dcterms:created xsi:type="dcterms:W3CDTF">2019-03-01T23:48:00Z</dcterms:created>
  <dcterms:modified xsi:type="dcterms:W3CDTF">2019-03-01T23:48:00Z</dcterms:modified>
</cp:coreProperties>
</file>