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CE7555" w:rsidTr="00CB7D7E">
        <w:tblPrEx>
          <w:tblCellMar>
            <w:top w:w="0" w:type="dxa"/>
            <w:bottom w:w="0" w:type="dxa"/>
          </w:tblCellMar>
        </w:tblPrEx>
        <w:trPr>
          <w:trHeight w:val="537"/>
        </w:trPr>
        <w:tc>
          <w:tcPr>
            <w:tcW w:w="9538" w:type="dxa"/>
            <w:tcBorders>
              <w:top w:val="single" w:sz="4" w:space="0" w:color="auto"/>
            </w:tcBorders>
          </w:tcPr>
          <w:p w:rsidR="00C26DFB" w:rsidRDefault="00C26DFB" w:rsidP="00DC50EB">
            <w:pPr>
              <w:pStyle w:val="Cabealho"/>
              <w:tabs>
                <w:tab w:val="clear" w:pos="4419"/>
                <w:tab w:val="clear" w:pos="8838"/>
              </w:tabs>
              <w:jc w:val="both"/>
            </w:pPr>
            <w:bookmarkStart w:id="0" w:name="_GoBack"/>
            <w:bookmarkEnd w:id="0"/>
            <w:r w:rsidRPr="00CE7555">
              <w:t>Este Informativo, elaborado a partir de notas tomadas nas sessões de julgamentos, contém resumos não</w:t>
            </w:r>
            <w:r w:rsidR="00DC50EB" w:rsidRPr="00CE7555">
              <w:t xml:space="preserve"> </w:t>
            </w:r>
            <w:r w:rsidRPr="00CE7555">
              <w:t>oficiais de decisões proferidas pelo Tribunal. A fidelidade dos resumos ao conteúdo efetivo das decisões, embora seja uma das metas perseguidas neste trabalho, somente poderá ser aferida após a sua publicação no Diário</w:t>
            </w:r>
            <w:r w:rsidR="00980944" w:rsidRPr="00CE7555">
              <w:t xml:space="preserve"> Eletrônico </w:t>
            </w:r>
            <w:r w:rsidRPr="00CE7555">
              <w:t>da Justiça</w:t>
            </w:r>
            <w:r w:rsidR="00980944" w:rsidRPr="00CE7555">
              <w:t xml:space="preserve"> do Trabalho</w:t>
            </w:r>
            <w:r w:rsidRPr="00CE7555">
              <w:t>.</w:t>
            </w:r>
          </w:p>
          <w:p w:rsidR="00730CC7" w:rsidRPr="00E531C9" w:rsidRDefault="00730CC7" w:rsidP="00DC50EB">
            <w:pPr>
              <w:pStyle w:val="Cabealho"/>
              <w:tabs>
                <w:tab w:val="clear" w:pos="4419"/>
                <w:tab w:val="clear" w:pos="8838"/>
              </w:tabs>
              <w:jc w:val="both"/>
              <w:rPr>
                <w:sz w:val="10"/>
                <w:szCs w:val="10"/>
              </w:rPr>
            </w:pPr>
          </w:p>
        </w:tc>
      </w:tr>
    </w:tbl>
    <w:p w:rsidR="00EC04A5" w:rsidRPr="002B226F" w:rsidRDefault="00EC04A5" w:rsidP="00EC04A5">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2B226F">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 xml:space="preserve">SEÇÃO ESPECIALIZADA EM DISSÍDIOS </w:t>
      </w:r>
      <w:r w:rsidR="00040BBC" w:rsidRPr="002B226F">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COLETIVOS</w:t>
      </w:r>
    </w:p>
    <w:p w:rsidR="00207D1D" w:rsidRDefault="00207D1D" w:rsidP="00623D44">
      <w:pPr>
        <w:jc w:val="both"/>
      </w:pPr>
    </w:p>
    <w:p w:rsidR="00040BBC" w:rsidRPr="00945C31" w:rsidRDefault="00040BBC" w:rsidP="00040BBC">
      <w:pPr>
        <w:jc w:val="both"/>
        <w:rPr>
          <w:b/>
          <w:i/>
          <w:sz w:val="24"/>
          <w:szCs w:val="24"/>
        </w:rPr>
      </w:pPr>
      <w:r w:rsidRPr="00945C31">
        <w:rPr>
          <w:b/>
          <w:i/>
          <w:sz w:val="24"/>
          <w:szCs w:val="24"/>
        </w:rPr>
        <w:t>Ação anulatória. Acordo coletivo de trabalho. Cláusula que fixa percentual máximo de 50% do salário base para desconto em folha de pagamento. Validade.</w:t>
      </w:r>
    </w:p>
    <w:p w:rsidR="00040BBC" w:rsidRDefault="00040BBC" w:rsidP="00040BBC">
      <w:pPr>
        <w:tabs>
          <w:tab w:val="left" w:pos="1170"/>
        </w:tabs>
        <w:jc w:val="both"/>
        <w:rPr>
          <w:sz w:val="24"/>
          <w:szCs w:val="24"/>
          <w:u w:val="single"/>
        </w:rPr>
      </w:pPr>
      <w:r w:rsidRPr="00040BBC">
        <w:rPr>
          <w:sz w:val="24"/>
          <w:szCs w:val="24"/>
        </w:rPr>
        <w:t>A Lei nº 10.820/2003, que dispõe sobre a consignação em folha nos casos de prestações decorrentes de operações financeiras, não fixa limites mínimo ou máximo para o desconto salarial. O percentual de 35% determinado no art. 1º, § 1º, da referida lei alude apenas ao limite de comprometimento das verbas rescisórias e não ao limite de desconto nos salários. No caso, a norma coletiva fixou o percentual máximo de desconto de 50% sobre o salário base em folha de pagamento, em consonância, portanto, com a Orientação Jurisprudencial nº 18 da SDC, que delimita os descontos salariais autorizados por meio de norma coletiva a 70% do salário base. Sob esse fundamento, a SDC, por unanimidade, conheceu do recurso ordinário interposto pelo Ministério Público do Trabalho e, no mérito, negou-lhe provimento</w:t>
      </w:r>
      <w:r w:rsidR="008942D5">
        <w:rPr>
          <w:sz w:val="24"/>
          <w:szCs w:val="24"/>
        </w:rPr>
        <w:t>,</w:t>
      </w:r>
      <w:r w:rsidRPr="00040BBC">
        <w:rPr>
          <w:sz w:val="24"/>
          <w:szCs w:val="24"/>
        </w:rPr>
        <w:t xml:space="preserve"> mantendo, portanto, a decisão do Tribunal Regional que julgara improcedente a ação anulatória, ante a validade da cláusula em questão. </w:t>
      </w:r>
      <w:hyperlink r:id="rId9" w:history="1">
        <w:r w:rsidRPr="00040BBC">
          <w:rPr>
            <w:rStyle w:val="Hyperlink"/>
            <w:sz w:val="24"/>
            <w:szCs w:val="24"/>
          </w:rPr>
          <w:t>TST-RO-560-36.2016.5.08.0000</w:t>
        </w:r>
      </w:hyperlink>
      <w:r w:rsidRPr="00040BBC">
        <w:rPr>
          <w:sz w:val="24"/>
          <w:szCs w:val="24"/>
          <w:u w:val="single"/>
        </w:rPr>
        <w:t>, SDC, rel. Min. Aloysio Corrêa da Veiga, 14.5.2018</w:t>
      </w:r>
    </w:p>
    <w:p w:rsidR="00040BBC" w:rsidRPr="00040BBC" w:rsidRDefault="00040BBC" w:rsidP="00040BBC">
      <w:pPr>
        <w:tabs>
          <w:tab w:val="left" w:pos="1170"/>
        </w:tabs>
        <w:jc w:val="both"/>
        <w:rPr>
          <w:u w:val="single"/>
        </w:rPr>
      </w:pPr>
    </w:p>
    <w:p w:rsidR="00040BBC" w:rsidRPr="00945C31" w:rsidRDefault="00040BBC" w:rsidP="00040BBC">
      <w:pPr>
        <w:jc w:val="both"/>
        <w:rPr>
          <w:rStyle w:val="f51"/>
          <w:b/>
          <w:bCs/>
          <w:i/>
          <w:iCs/>
        </w:rPr>
      </w:pPr>
      <w:r w:rsidRPr="00945C31">
        <w:rPr>
          <w:rStyle w:val="f51"/>
          <w:b/>
          <w:bCs/>
          <w:i/>
          <w:iCs/>
        </w:rPr>
        <w:t>Ação anulatória. Acordo coletivo de trabalho. Regularização da jornada em turnos ininterruptos de revezamento. Quitação extrajudicial de horas extras pretéritas. Transação coletiva sindical. Validade.</w:t>
      </w:r>
    </w:p>
    <w:p w:rsidR="00040BBC" w:rsidRPr="00945C31" w:rsidRDefault="00040BBC" w:rsidP="00040BBC">
      <w:pPr>
        <w:jc w:val="both"/>
        <w:rPr>
          <w:rStyle w:val="f51"/>
          <w:bCs/>
          <w:iCs/>
        </w:rPr>
      </w:pPr>
      <w:r w:rsidRPr="00945C31">
        <w:rPr>
          <w:rStyle w:val="f51"/>
          <w:bCs/>
          <w:iCs/>
        </w:rPr>
        <w:t xml:space="preserve">A SDC, por unanimidade, conheceu de recurso ordinário e, no mérito, negou-lhe provimento para manter a decisão do Tribunal Regional que considerou válida as cláusulas de termo aditivo em acordo coletivo de trabalho por meio das quais se formalizou expressamente a jornada de 8 horas em regime de trabalho em turnos ininterruptos de revezamento e, concomitantemente, se estabeleceu transação extrajudicial para a quitação das 7ª e 8ª horas como extras relativas ao período pretérito, no qual o regime de turnos ininterruptos era adotado pela Companhia de Saneamento Básico do Estado de São Paulo – Sabesp sem respaldo em norma coletiva. Na espécie, registrou-se que embora os empregados tenham consentido com a satisfação apenas parcial do direito ao pagamento de eventuais horas extras trabalhadas, por outro lado, a norma coletiva assegurou benefícios importantes para a categoria, a revelar a ocorrência de despojamento bilateral e reciprocidade entre os sujeitos coletivos. Houve, portanto, efetiva transação coletiva sindical que redundou na concretização de uma das principais funções do Direito Coletivo do Trabalho, qual seja, a pacificação de conflitos de natureza sociocoletiva, na medida em que o instrumento firmado impediu a exacerbação da litigiosidade e trouxe segurança jurídica em relação à escala de 4x2x4 historicamente desempenhada pela categoria profissional. </w:t>
      </w:r>
      <w:hyperlink r:id="rId10" w:history="1">
        <w:r w:rsidRPr="00040BBC">
          <w:rPr>
            <w:rStyle w:val="Hyperlink"/>
            <w:sz w:val="24"/>
            <w:szCs w:val="24"/>
          </w:rPr>
          <w:t>TST-</w:t>
        </w:r>
        <w:r w:rsidRPr="00040BBC">
          <w:rPr>
            <w:rStyle w:val="Hyperlink"/>
            <w:bCs/>
            <w:sz w:val="24"/>
            <w:szCs w:val="24"/>
          </w:rPr>
          <w:t>RO-1000351-52.2015.5.02.0000</w:t>
        </w:r>
      </w:hyperlink>
      <w:r w:rsidRPr="00945C31">
        <w:rPr>
          <w:sz w:val="24"/>
          <w:szCs w:val="24"/>
          <w:u w:val="single"/>
        </w:rPr>
        <w:t>, SDC, rel.</w:t>
      </w:r>
      <w:r w:rsidRPr="00945C31">
        <w:rPr>
          <w:bCs/>
          <w:sz w:val="24"/>
          <w:szCs w:val="24"/>
          <w:u w:val="single"/>
        </w:rPr>
        <w:t xml:space="preserve"> Min. </w:t>
      </w:r>
      <w:r>
        <w:rPr>
          <w:bCs/>
          <w:sz w:val="24"/>
          <w:u w:val="single"/>
        </w:rPr>
        <w:t>Mauri</w:t>
      </w:r>
      <w:r w:rsidRPr="00945C31">
        <w:rPr>
          <w:bCs/>
          <w:sz w:val="24"/>
          <w:u w:val="single"/>
        </w:rPr>
        <w:t>cio Godinho Delgado,</w:t>
      </w:r>
      <w:r w:rsidRPr="00945C31">
        <w:rPr>
          <w:bCs/>
          <w:sz w:val="32"/>
          <w:szCs w:val="24"/>
          <w:u w:val="single"/>
        </w:rPr>
        <w:t xml:space="preserve"> </w:t>
      </w:r>
      <w:r w:rsidRPr="00945C31">
        <w:rPr>
          <w:bCs/>
          <w:sz w:val="24"/>
          <w:szCs w:val="24"/>
          <w:u w:val="single"/>
        </w:rPr>
        <w:t>14.5.2018.</w:t>
      </w:r>
    </w:p>
    <w:p w:rsidR="00040BBC" w:rsidRPr="007760AE" w:rsidRDefault="00040BBC" w:rsidP="00623D44">
      <w:pPr>
        <w:jc w:val="both"/>
      </w:pPr>
    </w:p>
    <w:p w:rsidR="007760AE" w:rsidRPr="002B226F" w:rsidRDefault="007760AE" w:rsidP="007760AE">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2B226F">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 ESPECIALIZADA EM DISSÍDIOS INDIVIDUAIS</w:t>
      </w:r>
    </w:p>
    <w:p w:rsidR="007760AE" w:rsidRPr="00E716F3" w:rsidRDefault="007760AE" w:rsidP="007760AE">
      <w:pPr>
        <w:jc w:val="both"/>
        <w:rPr>
          <w:u w:val="single"/>
        </w:rPr>
      </w:pPr>
    </w:p>
    <w:p w:rsidR="00040BBC" w:rsidRPr="00945C31" w:rsidRDefault="00040BBC" w:rsidP="00040BBC">
      <w:pPr>
        <w:jc w:val="both"/>
        <w:rPr>
          <w:b/>
          <w:i/>
          <w:sz w:val="24"/>
          <w:szCs w:val="24"/>
        </w:rPr>
      </w:pPr>
      <w:r w:rsidRPr="00945C31">
        <w:rPr>
          <w:b/>
          <w:i/>
          <w:sz w:val="24"/>
          <w:szCs w:val="24"/>
        </w:rPr>
        <w:t>Complementação de aposentadoria. Regulamento aplicável. Acórdão turmário que afasta a prescrição. Decisão de mérito. Incidência da modulação prevista no item IV da Súmula nº 288 do TST.</w:t>
      </w:r>
    </w:p>
    <w:p w:rsidR="00040BBC" w:rsidRPr="00945C31" w:rsidRDefault="00040BBC" w:rsidP="00040BBC">
      <w:pPr>
        <w:jc w:val="both"/>
        <w:rPr>
          <w:bCs/>
          <w:sz w:val="24"/>
          <w:szCs w:val="24"/>
        </w:rPr>
      </w:pPr>
      <w:r w:rsidRPr="00945C31">
        <w:rPr>
          <w:bCs/>
          <w:sz w:val="24"/>
          <w:szCs w:val="24"/>
        </w:rPr>
        <w:lastRenderedPageBreak/>
        <w:t>A decisão de Turma que afasta a prescrição insere-se no conceito de “decisão de mérito” a que alude a Súmula nº 288, IV, do TST, na redação conferida pelo Tribunal Pleno em 12.4.2016 no julgamento do processo TST-E-ED-RR-235-20.2010.5.20.0006. Por conseguinte, o acórdão recorrido que não aplica a modulação dos efeitos, não obstante a Turma haja proferido decisão sobre prescrição antes de 12.4.2016, contraria o item IV da Súmula 288 do TST</w:t>
      </w:r>
      <w:r w:rsidRPr="00945C31">
        <w:rPr>
          <w:sz w:val="24"/>
          <w:szCs w:val="24"/>
        </w:rPr>
        <w:t xml:space="preserve">.  </w:t>
      </w:r>
      <w:r w:rsidRPr="00945C31">
        <w:rPr>
          <w:bCs/>
          <w:sz w:val="24"/>
          <w:szCs w:val="24"/>
        </w:rPr>
        <w:t xml:space="preserve">Na espécie, em 2.5.2012, </w:t>
      </w:r>
      <w:r w:rsidRPr="00945C31">
        <w:rPr>
          <w:sz w:val="24"/>
          <w:szCs w:val="24"/>
        </w:rPr>
        <w:t>a Turma conheceu do recurso de revista do reclamante, por contrariedade à Súmula nº 327 do TST, e, no mérito, deu-lhe provimento para afastar a prescrição total do direito de ação quanto ao pleito de diferenças de complementação de aposentadoria, determinando o retorno dos autos à Vara de origem, para prosseguimento do feito. Os autos retornaram ao TST e, em 26.10.2016, a Turma não conheceu do recurso de revista do reclamante, sob o fundamento de que “</w:t>
      </w:r>
      <w:r w:rsidRPr="00945C31">
        <w:rPr>
          <w:i/>
          <w:sz w:val="24"/>
          <w:szCs w:val="24"/>
        </w:rPr>
        <w:t>a Corte de origem, ao estabelecer que a complementação de aposentadoria do reclamante deveria ser regida pelo regulamento vigente à época da aposentadoria, decidiu em sintonia com a nova redação da Súmula 288 do TST</w:t>
      </w:r>
      <w:r w:rsidRPr="00945C31">
        <w:rPr>
          <w:sz w:val="24"/>
          <w:szCs w:val="24"/>
        </w:rPr>
        <w:t xml:space="preserve">.” Assim, </w:t>
      </w:r>
      <w:r w:rsidRPr="00945C31">
        <w:rPr>
          <w:bCs/>
          <w:sz w:val="24"/>
          <w:szCs w:val="24"/>
        </w:rPr>
        <w:t xml:space="preserve">a SBDI-I, por unanimidade, conheceu dos embargos, por divergência jurisprudencial, e, no mérito, deu-lhes provimento para, afastada a incidência do item III da Súmula nº 288 do TST, determinar o retorno dos autos à Vara do Trabalho de origem para que a julgue a demanda à luz do entendimento consubstanciado na Súmula nº 288, I, do TST, na antiga redação. </w:t>
      </w:r>
      <w:hyperlink r:id="rId11" w:history="1">
        <w:r w:rsidRPr="007D19FC">
          <w:rPr>
            <w:rStyle w:val="Hyperlink"/>
            <w:bCs/>
            <w:sz w:val="24"/>
            <w:szCs w:val="24"/>
          </w:rPr>
          <w:t>TST-</w:t>
        </w:r>
        <w:r w:rsidRPr="007D19FC">
          <w:rPr>
            <w:rStyle w:val="Hyperlink"/>
            <w:sz w:val="24"/>
            <w:szCs w:val="24"/>
          </w:rPr>
          <w:t>E-ED-ARR–397-56.2010.5.01.0034</w:t>
        </w:r>
      </w:hyperlink>
      <w:r w:rsidRPr="00945C31">
        <w:rPr>
          <w:sz w:val="24"/>
          <w:szCs w:val="24"/>
          <w:u w:val="single"/>
        </w:rPr>
        <w:t>, SBDI-I, rel. Min. Márcio Eurico Vitral Amaro, 17.5.2018.</w:t>
      </w:r>
    </w:p>
    <w:p w:rsidR="00040BBC" w:rsidRPr="00040BBC" w:rsidRDefault="00040BBC" w:rsidP="00040BBC">
      <w:pPr>
        <w:ind w:right="-71"/>
        <w:jc w:val="both"/>
      </w:pPr>
    </w:p>
    <w:p w:rsidR="00040BBC" w:rsidRPr="002B226F" w:rsidRDefault="00040BBC" w:rsidP="00040BB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2B226F">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II ESPECIALIZADA EM DISSÍDIOS INDIVIDUAIS</w:t>
      </w:r>
    </w:p>
    <w:p w:rsidR="009815A9" w:rsidRPr="00040BBC" w:rsidRDefault="009815A9" w:rsidP="00623D44">
      <w:pPr>
        <w:jc w:val="both"/>
      </w:pPr>
    </w:p>
    <w:p w:rsidR="00040BBC" w:rsidRPr="00945C31" w:rsidRDefault="00040BBC" w:rsidP="00040BBC">
      <w:pPr>
        <w:jc w:val="both"/>
        <w:rPr>
          <w:rStyle w:val="f51"/>
          <w:b/>
          <w:bCs/>
          <w:i/>
          <w:iCs/>
        </w:rPr>
      </w:pPr>
      <w:r w:rsidRPr="00945C31">
        <w:rPr>
          <w:rStyle w:val="f51"/>
          <w:b/>
          <w:bCs/>
          <w:i/>
          <w:iCs/>
        </w:rPr>
        <w:t xml:space="preserve">Mandado de Segurança. Empresa em recuperação judicial. Depósito recursal anterior ao processamento da recuperação judicial. Integração ao Juízo universal da falência. </w:t>
      </w:r>
    </w:p>
    <w:p w:rsidR="00040BBC" w:rsidRPr="00945C31" w:rsidRDefault="00040BBC" w:rsidP="00040BBC">
      <w:pPr>
        <w:jc w:val="both"/>
        <w:rPr>
          <w:sz w:val="24"/>
          <w:szCs w:val="24"/>
        </w:rPr>
      </w:pPr>
      <w:r w:rsidRPr="00945C31">
        <w:rPr>
          <w:rStyle w:val="f51"/>
        </w:rPr>
        <w:t>Embora o depósito recursal fique à disposição do Juízo trabalhista, ele não integra o patrimônio do reclamante, ainda que realizado antes do processamento da recuperação judicial ou da decretação da falência da empresa, de modo que todos os atos de execução referentes às reclamações trabalhistas movidas contra a recuperanda são de competência do Juízo universal, consoante jurisprudência reiterada do STJ. Sob esse fundamento, a SBDI-II, por maioria, vencidos os Ministros Maria Helena Mallmann, relatora, Emmanoel Pereira e Delaíde Miranda Arantes, deu provimento ao recurso ordinário interposto pela empresa para denegar a segurança pretendida.</w:t>
      </w:r>
      <w:r w:rsidRPr="00945C31">
        <w:rPr>
          <w:sz w:val="24"/>
          <w:szCs w:val="24"/>
        </w:rPr>
        <w:t xml:space="preserve"> </w:t>
      </w:r>
      <w:hyperlink r:id="rId12" w:history="1">
        <w:r w:rsidRPr="007D19FC">
          <w:rPr>
            <w:rStyle w:val="Hyperlink"/>
            <w:sz w:val="24"/>
            <w:szCs w:val="24"/>
          </w:rPr>
          <w:t>TST-RO-348-74.2016.5.13.0000</w:t>
        </w:r>
      </w:hyperlink>
      <w:r w:rsidRPr="00945C31">
        <w:rPr>
          <w:sz w:val="24"/>
          <w:szCs w:val="24"/>
          <w:u w:val="single"/>
        </w:rPr>
        <w:t xml:space="preserve">, SBDI-II, </w:t>
      </w:r>
      <w:r w:rsidR="007D19FC">
        <w:rPr>
          <w:sz w:val="24"/>
          <w:szCs w:val="24"/>
          <w:u w:val="single"/>
        </w:rPr>
        <w:t xml:space="preserve">rel. Min. Maria Helena Mallmann, </w:t>
      </w:r>
      <w:r w:rsidRPr="00945C31">
        <w:rPr>
          <w:sz w:val="24"/>
          <w:szCs w:val="24"/>
          <w:u w:val="single"/>
        </w:rPr>
        <w:t>red. p/ acórdão Min. Renato de Lacerda Paiva, 15.5.2018</w:t>
      </w:r>
      <w:r w:rsidRPr="00945C31">
        <w:rPr>
          <w:szCs w:val="24"/>
        </w:rPr>
        <w:t xml:space="preserve">. (*Cf., em sentido contrário, </w:t>
      </w:r>
      <w:hyperlink r:id="rId13" w:history="1">
        <w:r w:rsidRPr="00945C31">
          <w:rPr>
            <w:rStyle w:val="Hyperlink"/>
            <w:szCs w:val="24"/>
          </w:rPr>
          <w:t>Informativo TST nº 177</w:t>
        </w:r>
      </w:hyperlink>
      <w:r w:rsidRPr="00945C31">
        <w:rPr>
          <w:szCs w:val="24"/>
        </w:rPr>
        <w:t>)</w:t>
      </w:r>
    </w:p>
    <w:p w:rsidR="00623D44" w:rsidRDefault="00623D44" w:rsidP="00EC04A5">
      <w:pPr>
        <w:jc w:val="both"/>
        <w:rPr>
          <w:sz w:val="24"/>
          <w:szCs w:val="24"/>
          <w:u w:val="single"/>
        </w:rPr>
      </w:pPr>
    </w:p>
    <w:p w:rsidR="007760AE" w:rsidRDefault="007760AE" w:rsidP="00EC04A5">
      <w:pPr>
        <w:jc w:val="both"/>
        <w:rPr>
          <w:sz w:val="24"/>
          <w:szCs w:val="24"/>
          <w:u w:val="single"/>
        </w:rPr>
      </w:pPr>
    </w:p>
    <w:p w:rsidR="00040BBC" w:rsidRDefault="00040BBC" w:rsidP="00EC04A5">
      <w:pPr>
        <w:jc w:val="both"/>
        <w:rPr>
          <w:sz w:val="24"/>
          <w:szCs w:val="24"/>
          <w:u w:val="single"/>
        </w:rPr>
      </w:pPr>
    </w:p>
    <w:p w:rsidR="00040BBC" w:rsidRDefault="00040BBC" w:rsidP="00EC04A5">
      <w:pPr>
        <w:jc w:val="both"/>
        <w:rPr>
          <w:sz w:val="24"/>
          <w:szCs w:val="24"/>
          <w:u w:val="single"/>
        </w:rPr>
      </w:pPr>
    </w:p>
    <w:p w:rsidR="00040BBC" w:rsidRPr="00A12420" w:rsidRDefault="00040BBC" w:rsidP="00EC04A5">
      <w:pPr>
        <w:jc w:val="both"/>
        <w:rPr>
          <w:sz w:val="24"/>
          <w:szCs w:val="24"/>
          <w:u w:val="single"/>
        </w:rPr>
      </w:pPr>
    </w:p>
    <w:p w:rsidR="006D0B48" w:rsidRPr="001D6AC9" w:rsidRDefault="006D0B48" w:rsidP="00C6738C">
      <w:pPr>
        <w:rPr>
          <w:sz w:val="10"/>
          <w:szCs w:val="10"/>
        </w:rPr>
      </w:pP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CE7555">
        <w:rPr>
          <w:b w:val="0"/>
          <w:bCs w:val="0"/>
          <w:snapToGrid w:val="0"/>
          <w:sz w:val="25"/>
          <w:szCs w:val="25"/>
        </w:rPr>
        <w:t xml:space="preserve">Informativo TST é mantido pela </w:t>
      </w: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CE7555">
        <w:rPr>
          <w:b w:val="0"/>
          <w:bCs w:val="0"/>
          <w:snapToGrid w:val="0"/>
          <w:sz w:val="25"/>
          <w:szCs w:val="25"/>
        </w:rPr>
        <w:t>Coordenadoria de Jurisprudência – CJUR</w:t>
      </w:r>
    </w:p>
    <w:p w:rsidR="00184590"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Informações/Sugestões/Críticas: (61)3043</w:t>
      </w:r>
      <w:r w:rsidR="00352B27" w:rsidRPr="00CE7555">
        <w:rPr>
          <w:snapToGrid w:val="0"/>
          <w:sz w:val="25"/>
          <w:szCs w:val="25"/>
        </w:rPr>
        <w:t>-</w:t>
      </w:r>
      <w:r w:rsidRPr="00CE7555">
        <w:rPr>
          <w:snapToGrid w:val="0"/>
          <w:sz w:val="25"/>
          <w:szCs w:val="25"/>
        </w:rPr>
        <w:t>4</w:t>
      </w:r>
      <w:r w:rsidR="00D72C05" w:rsidRPr="00CE7555">
        <w:rPr>
          <w:snapToGrid w:val="0"/>
          <w:sz w:val="25"/>
          <w:szCs w:val="25"/>
        </w:rPr>
        <w:t>417</w:t>
      </w:r>
    </w:p>
    <w:p w:rsidR="007614F1"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cjur@tst.jus.br</w:t>
      </w:r>
    </w:p>
    <w:sectPr w:rsidR="007614F1" w:rsidRPr="00CE7555" w:rsidSect="00D11B24">
      <w:headerReference w:type="default" r:id="rId14"/>
      <w:footerReference w:type="default" r:id="rId15"/>
      <w:headerReference w:type="first" r:id="rId16"/>
      <w:footerReference w:type="first" r:id="rId17"/>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89E" w:rsidRDefault="009B289E">
      <w:r>
        <w:separator/>
      </w:r>
    </w:p>
  </w:endnote>
  <w:endnote w:type="continuationSeparator" w:id="0">
    <w:p w:rsidR="009B289E" w:rsidRDefault="009B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D5" w:rsidRDefault="008942D5">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B226F">
      <w:rPr>
        <w:rStyle w:val="Nmerodepgina"/>
        <w:noProof/>
      </w:rPr>
      <w:t>2</w:t>
    </w:r>
    <w:r>
      <w:rPr>
        <w:rStyle w:val="Nmerodepgina"/>
      </w:rPr>
      <w:fldChar w:fldCharType="end"/>
    </w:r>
  </w:p>
  <w:p w:rsidR="008942D5" w:rsidRDefault="002B226F">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D5" w:rsidRDefault="002B226F">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sidR="008942D5">
      <w:rPr>
        <w:rStyle w:val="Nmerodepgina"/>
      </w:rPr>
      <w:fldChar w:fldCharType="begin"/>
    </w:r>
    <w:r w:rsidR="008942D5">
      <w:rPr>
        <w:rStyle w:val="Nmerodepgina"/>
      </w:rPr>
      <w:instrText xml:space="preserve"> PAGE </w:instrText>
    </w:r>
    <w:r w:rsidR="008942D5">
      <w:rPr>
        <w:rStyle w:val="Nmerodepgina"/>
      </w:rPr>
      <w:fldChar w:fldCharType="separate"/>
    </w:r>
    <w:r>
      <w:rPr>
        <w:rStyle w:val="Nmerodepgina"/>
        <w:noProof/>
      </w:rPr>
      <w:t>1</w:t>
    </w:r>
    <w:r w:rsidR="008942D5">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89E" w:rsidRDefault="009B289E">
      <w:r>
        <w:separator/>
      </w:r>
    </w:p>
  </w:footnote>
  <w:footnote w:type="continuationSeparator" w:id="0">
    <w:p w:rsidR="009B289E" w:rsidRDefault="009B2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D5" w:rsidRPr="002B226F" w:rsidRDefault="008942D5">
    <w:pPr>
      <w:pStyle w:val="Corpodetexto"/>
      <w:jc w:val="right"/>
      <w:rPr>
        <w:sz w:val="24"/>
        <w:szCs w:val="24"/>
        <w14:shadow w14:blurRad="50800" w14:dist="38100" w14:dir="2700000" w14:sx="100000" w14:sy="100000" w14:kx="0" w14:ky="0" w14:algn="tl">
          <w14:srgbClr w14:val="000000">
            <w14:alpha w14:val="60000"/>
          </w14:srgbClr>
        </w14:shadow>
      </w:rPr>
    </w:pPr>
    <w:r w:rsidRPr="002B226F">
      <w:rPr>
        <w:sz w:val="24"/>
        <w:szCs w:val="24"/>
        <w14:shadow w14:blurRad="50800" w14:dist="38100" w14:dir="2700000" w14:sx="100000" w14:sy="100000" w14:kx="0" w14:ky="0" w14:algn="tl">
          <w14:srgbClr w14:val="000000">
            <w14:alpha w14:val="60000"/>
          </w14:srgbClr>
        </w14:shadow>
      </w:rPr>
      <w:t>Informativo TST - nº 178</w:t>
    </w:r>
  </w:p>
  <w:p w:rsidR="008942D5" w:rsidRPr="005D1DE4" w:rsidRDefault="002B226F" w:rsidP="00CE7555">
    <w:pPr>
      <w:pStyle w:val="Cabealho"/>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008942D5" w:rsidRPr="003C0554">
      <w:rPr>
        <w:iCs/>
      </w:rPr>
      <w:t xml:space="preserve"> </w:t>
    </w:r>
    <w:r w:rsidR="008942D5">
      <w:rPr>
        <w:i/>
        <w:iCs/>
      </w:rPr>
      <w:t>Período: 14 a 21 de maio de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D5" w:rsidRDefault="008942D5">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2B226F">
      <w:rPr>
        <w:noProof/>
      </w:rPr>
      <w:drawing>
        <wp:inline distT="0" distB="0" distL="0" distR="0">
          <wp:extent cx="1219200" cy="981075"/>
          <wp:effectExtent l="0" t="0" r="0" b="9525"/>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8942D5" w:rsidRPr="002168DE" w:rsidRDefault="008942D5"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Pr>
        <w:b/>
        <w:sz w:val="40"/>
        <w:szCs w:val="40"/>
      </w:rPr>
      <w:t xml:space="preserve">178 </w:t>
    </w:r>
  </w:p>
  <w:p w:rsidR="008942D5" w:rsidRPr="005D1DE4" w:rsidRDefault="008942D5">
    <w:pPr>
      <w:pStyle w:val="Cabealho"/>
      <w:jc w:val="right"/>
      <w:rPr>
        <w:i/>
        <w:iCs/>
        <w:sz w:val="10"/>
        <w:szCs w:val="10"/>
      </w:rPr>
    </w:pPr>
  </w:p>
  <w:p w:rsidR="008942D5" w:rsidRDefault="008942D5" w:rsidP="009A16E8">
    <w:pPr>
      <w:pStyle w:val="Cabealho"/>
      <w:jc w:val="right"/>
      <w:rPr>
        <w:i/>
        <w:iCs/>
      </w:rPr>
    </w:pPr>
    <w:r>
      <w:rPr>
        <w:i/>
        <w:iCs/>
      </w:rPr>
      <w:t>Período: 14 a 21 de maio de 2018</w:t>
    </w:r>
  </w:p>
  <w:p w:rsidR="008942D5" w:rsidRDefault="008942D5"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21967"/>
    <w:rsid w:val="000228E6"/>
    <w:rsid w:val="000249BA"/>
    <w:rsid w:val="00024CE9"/>
    <w:rsid w:val="00032056"/>
    <w:rsid w:val="000322FB"/>
    <w:rsid w:val="000332F1"/>
    <w:rsid w:val="00034034"/>
    <w:rsid w:val="00040BBC"/>
    <w:rsid w:val="000425F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58FB"/>
    <w:rsid w:val="0009237D"/>
    <w:rsid w:val="00093AE9"/>
    <w:rsid w:val="00093BA8"/>
    <w:rsid w:val="00094103"/>
    <w:rsid w:val="00095471"/>
    <w:rsid w:val="000A04E6"/>
    <w:rsid w:val="000A4C94"/>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11575C"/>
    <w:rsid w:val="0011692E"/>
    <w:rsid w:val="00122C2A"/>
    <w:rsid w:val="001257D7"/>
    <w:rsid w:val="00137564"/>
    <w:rsid w:val="00137DC1"/>
    <w:rsid w:val="00141630"/>
    <w:rsid w:val="00142C28"/>
    <w:rsid w:val="00152238"/>
    <w:rsid w:val="0015612D"/>
    <w:rsid w:val="00161CDE"/>
    <w:rsid w:val="00161E91"/>
    <w:rsid w:val="00163142"/>
    <w:rsid w:val="001648F5"/>
    <w:rsid w:val="00167E80"/>
    <w:rsid w:val="00176D15"/>
    <w:rsid w:val="0018296E"/>
    <w:rsid w:val="00183803"/>
    <w:rsid w:val="00184590"/>
    <w:rsid w:val="00187A37"/>
    <w:rsid w:val="00187BEF"/>
    <w:rsid w:val="0019151D"/>
    <w:rsid w:val="001920CD"/>
    <w:rsid w:val="00193208"/>
    <w:rsid w:val="001932B7"/>
    <w:rsid w:val="00194264"/>
    <w:rsid w:val="00197B15"/>
    <w:rsid w:val="001B025A"/>
    <w:rsid w:val="001B2C08"/>
    <w:rsid w:val="001C04D2"/>
    <w:rsid w:val="001C21FB"/>
    <w:rsid w:val="001C271F"/>
    <w:rsid w:val="001C5885"/>
    <w:rsid w:val="001C6C93"/>
    <w:rsid w:val="001D4CF9"/>
    <w:rsid w:val="001D4E17"/>
    <w:rsid w:val="001D550B"/>
    <w:rsid w:val="001D5AB0"/>
    <w:rsid w:val="001D6AC9"/>
    <w:rsid w:val="001D757D"/>
    <w:rsid w:val="001E14A9"/>
    <w:rsid w:val="001E14BB"/>
    <w:rsid w:val="001E3B29"/>
    <w:rsid w:val="001E4B57"/>
    <w:rsid w:val="001E5BD1"/>
    <w:rsid w:val="001E713B"/>
    <w:rsid w:val="001E79B4"/>
    <w:rsid w:val="001F030F"/>
    <w:rsid w:val="001F2F34"/>
    <w:rsid w:val="001F45E0"/>
    <w:rsid w:val="00200A8C"/>
    <w:rsid w:val="00204C97"/>
    <w:rsid w:val="00206810"/>
    <w:rsid w:val="00207D1D"/>
    <w:rsid w:val="002156DC"/>
    <w:rsid w:val="002168DE"/>
    <w:rsid w:val="00223F6E"/>
    <w:rsid w:val="00224AC2"/>
    <w:rsid w:val="00230183"/>
    <w:rsid w:val="0023559D"/>
    <w:rsid w:val="002402B0"/>
    <w:rsid w:val="002449F9"/>
    <w:rsid w:val="00255732"/>
    <w:rsid w:val="00257B4A"/>
    <w:rsid w:val="00260B37"/>
    <w:rsid w:val="002635ED"/>
    <w:rsid w:val="002662BA"/>
    <w:rsid w:val="00266D49"/>
    <w:rsid w:val="00271C5C"/>
    <w:rsid w:val="00271E67"/>
    <w:rsid w:val="002730B5"/>
    <w:rsid w:val="0027659F"/>
    <w:rsid w:val="002766D5"/>
    <w:rsid w:val="0027684A"/>
    <w:rsid w:val="00276EA0"/>
    <w:rsid w:val="00280594"/>
    <w:rsid w:val="00282620"/>
    <w:rsid w:val="00285064"/>
    <w:rsid w:val="00287D4A"/>
    <w:rsid w:val="002A219D"/>
    <w:rsid w:val="002A22C6"/>
    <w:rsid w:val="002A521A"/>
    <w:rsid w:val="002A546D"/>
    <w:rsid w:val="002B0750"/>
    <w:rsid w:val="002B226F"/>
    <w:rsid w:val="002B4738"/>
    <w:rsid w:val="002B6377"/>
    <w:rsid w:val="002C2904"/>
    <w:rsid w:val="002C6261"/>
    <w:rsid w:val="002E3B9F"/>
    <w:rsid w:val="002E78CB"/>
    <w:rsid w:val="002F28E5"/>
    <w:rsid w:val="002F71BF"/>
    <w:rsid w:val="003070C9"/>
    <w:rsid w:val="003074FC"/>
    <w:rsid w:val="0031207D"/>
    <w:rsid w:val="003200A0"/>
    <w:rsid w:val="00322F7A"/>
    <w:rsid w:val="0033397A"/>
    <w:rsid w:val="00340D16"/>
    <w:rsid w:val="00340E8D"/>
    <w:rsid w:val="00342846"/>
    <w:rsid w:val="003503FC"/>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908C5"/>
    <w:rsid w:val="00393131"/>
    <w:rsid w:val="0039326C"/>
    <w:rsid w:val="00396053"/>
    <w:rsid w:val="003A0E52"/>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F2078"/>
    <w:rsid w:val="003F5EA7"/>
    <w:rsid w:val="004034A8"/>
    <w:rsid w:val="0040506F"/>
    <w:rsid w:val="0041011C"/>
    <w:rsid w:val="004163E7"/>
    <w:rsid w:val="004166C3"/>
    <w:rsid w:val="00416D9A"/>
    <w:rsid w:val="00420228"/>
    <w:rsid w:val="00423641"/>
    <w:rsid w:val="0042772A"/>
    <w:rsid w:val="004323B0"/>
    <w:rsid w:val="00437995"/>
    <w:rsid w:val="0044014F"/>
    <w:rsid w:val="00444E88"/>
    <w:rsid w:val="004477EC"/>
    <w:rsid w:val="00450BAD"/>
    <w:rsid w:val="00454245"/>
    <w:rsid w:val="0045657C"/>
    <w:rsid w:val="00457A40"/>
    <w:rsid w:val="004655CC"/>
    <w:rsid w:val="00466DB9"/>
    <w:rsid w:val="004672FC"/>
    <w:rsid w:val="0047004F"/>
    <w:rsid w:val="00470EF8"/>
    <w:rsid w:val="004731B7"/>
    <w:rsid w:val="0047749E"/>
    <w:rsid w:val="00486521"/>
    <w:rsid w:val="00486DFC"/>
    <w:rsid w:val="004922D6"/>
    <w:rsid w:val="00494DD1"/>
    <w:rsid w:val="004A094C"/>
    <w:rsid w:val="004A1432"/>
    <w:rsid w:val="004A14FC"/>
    <w:rsid w:val="004A5264"/>
    <w:rsid w:val="004A5908"/>
    <w:rsid w:val="004A7C59"/>
    <w:rsid w:val="004B21AD"/>
    <w:rsid w:val="004B63FB"/>
    <w:rsid w:val="004C011C"/>
    <w:rsid w:val="004C14EA"/>
    <w:rsid w:val="004C2118"/>
    <w:rsid w:val="004C2612"/>
    <w:rsid w:val="004C749C"/>
    <w:rsid w:val="004C759F"/>
    <w:rsid w:val="004D6000"/>
    <w:rsid w:val="004D60CD"/>
    <w:rsid w:val="004D6415"/>
    <w:rsid w:val="004D71E8"/>
    <w:rsid w:val="004E393E"/>
    <w:rsid w:val="004E4507"/>
    <w:rsid w:val="004E4619"/>
    <w:rsid w:val="004F0A7D"/>
    <w:rsid w:val="004F5040"/>
    <w:rsid w:val="005059F5"/>
    <w:rsid w:val="00513789"/>
    <w:rsid w:val="0051538E"/>
    <w:rsid w:val="00517E01"/>
    <w:rsid w:val="00521EEC"/>
    <w:rsid w:val="00530B90"/>
    <w:rsid w:val="005405E7"/>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F82"/>
    <w:rsid w:val="00591DFA"/>
    <w:rsid w:val="005A30AA"/>
    <w:rsid w:val="005A5695"/>
    <w:rsid w:val="005B031E"/>
    <w:rsid w:val="005B0A1C"/>
    <w:rsid w:val="005B22CE"/>
    <w:rsid w:val="005B2F00"/>
    <w:rsid w:val="005B3792"/>
    <w:rsid w:val="005B523B"/>
    <w:rsid w:val="005B57DE"/>
    <w:rsid w:val="005C12EE"/>
    <w:rsid w:val="005C1886"/>
    <w:rsid w:val="005C761E"/>
    <w:rsid w:val="005D0E5F"/>
    <w:rsid w:val="005D1DE4"/>
    <w:rsid w:val="005E35BD"/>
    <w:rsid w:val="005E3D4D"/>
    <w:rsid w:val="005E3F64"/>
    <w:rsid w:val="005E7FD1"/>
    <w:rsid w:val="005F0545"/>
    <w:rsid w:val="005F2858"/>
    <w:rsid w:val="005F52AB"/>
    <w:rsid w:val="006002E3"/>
    <w:rsid w:val="00602FF7"/>
    <w:rsid w:val="006145AC"/>
    <w:rsid w:val="00615F98"/>
    <w:rsid w:val="006207F5"/>
    <w:rsid w:val="00621F9C"/>
    <w:rsid w:val="00623D44"/>
    <w:rsid w:val="00631166"/>
    <w:rsid w:val="00631F1C"/>
    <w:rsid w:val="00636289"/>
    <w:rsid w:val="006366A4"/>
    <w:rsid w:val="00640D6E"/>
    <w:rsid w:val="006425DD"/>
    <w:rsid w:val="00643B60"/>
    <w:rsid w:val="006456B1"/>
    <w:rsid w:val="006564EC"/>
    <w:rsid w:val="0066084C"/>
    <w:rsid w:val="00661B23"/>
    <w:rsid w:val="00665CCF"/>
    <w:rsid w:val="00672CF9"/>
    <w:rsid w:val="00672E11"/>
    <w:rsid w:val="0068273B"/>
    <w:rsid w:val="006847A0"/>
    <w:rsid w:val="00691234"/>
    <w:rsid w:val="00692202"/>
    <w:rsid w:val="006931CC"/>
    <w:rsid w:val="006947F2"/>
    <w:rsid w:val="00696523"/>
    <w:rsid w:val="00697919"/>
    <w:rsid w:val="006B3FCF"/>
    <w:rsid w:val="006B46CA"/>
    <w:rsid w:val="006B549E"/>
    <w:rsid w:val="006C0391"/>
    <w:rsid w:val="006C28B3"/>
    <w:rsid w:val="006D0B48"/>
    <w:rsid w:val="006D1F66"/>
    <w:rsid w:val="006D306E"/>
    <w:rsid w:val="006D4497"/>
    <w:rsid w:val="006D7C49"/>
    <w:rsid w:val="006E1A9C"/>
    <w:rsid w:val="006E3B5C"/>
    <w:rsid w:val="006E5D21"/>
    <w:rsid w:val="006F1AAE"/>
    <w:rsid w:val="006F6C15"/>
    <w:rsid w:val="00700B1B"/>
    <w:rsid w:val="007023BC"/>
    <w:rsid w:val="007029CF"/>
    <w:rsid w:val="0070727E"/>
    <w:rsid w:val="007101D6"/>
    <w:rsid w:val="00710D3A"/>
    <w:rsid w:val="0071315F"/>
    <w:rsid w:val="00720057"/>
    <w:rsid w:val="00721942"/>
    <w:rsid w:val="00722BE7"/>
    <w:rsid w:val="00723134"/>
    <w:rsid w:val="00730CC7"/>
    <w:rsid w:val="00732DF2"/>
    <w:rsid w:val="007403B3"/>
    <w:rsid w:val="00750B85"/>
    <w:rsid w:val="007614F1"/>
    <w:rsid w:val="007618C5"/>
    <w:rsid w:val="00764066"/>
    <w:rsid w:val="00766B7B"/>
    <w:rsid w:val="0077600F"/>
    <w:rsid w:val="007760AE"/>
    <w:rsid w:val="00776118"/>
    <w:rsid w:val="00781C77"/>
    <w:rsid w:val="00796745"/>
    <w:rsid w:val="007A28FF"/>
    <w:rsid w:val="007A4F78"/>
    <w:rsid w:val="007A7125"/>
    <w:rsid w:val="007B0F83"/>
    <w:rsid w:val="007C0A4F"/>
    <w:rsid w:val="007D0081"/>
    <w:rsid w:val="007D19FC"/>
    <w:rsid w:val="007D29A1"/>
    <w:rsid w:val="007D2B4E"/>
    <w:rsid w:val="007D2EE9"/>
    <w:rsid w:val="007D469A"/>
    <w:rsid w:val="007D6D94"/>
    <w:rsid w:val="007D6F8C"/>
    <w:rsid w:val="007E094E"/>
    <w:rsid w:val="007E0EA7"/>
    <w:rsid w:val="007E26A1"/>
    <w:rsid w:val="007E37B1"/>
    <w:rsid w:val="007E3F23"/>
    <w:rsid w:val="007E53A4"/>
    <w:rsid w:val="007F142E"/>
    <w:rsid w:val="007F2BBE"/>
    <w:rsid w:val="007F66BC"/>
    <w:rsid w:val="007F7B5E"/>
    <w:rsid w:val="00800B97"/>
    <w:rsid w:val="00801246"/>
    <w:rsid w:val="00801F11"/>
    <w:rsid w:val="00802B1A"/>
    <w:rsid w:val="00805CD2"/>
    <w:rsid w:val="0080615C"/>
    <w:rsid w:val="0081027F"/>
    <w:rsid w:val="0081742D"/>
    <w:rsid w:val="00817AB1"/>
    <w:rsid w:val="00820419"/>
    <w:rsid w:val="00820817"/>
    <w:rsid w:val="00821F4D"/>
    <w:rsid w:val="00823906"/>
    <w:rsid w:val="008409D3"/>
    <w:rsid w:val="0084319F"/>
    <w:rsid w:val="00843F5F"/>
    <w:rsid w:val="00844374"/>
    <w:rsid w:val="00844FEB"/>
    <w:rsid w:val="00845559"/>
    <w:rsid w:val="0084797B"/>
    <w:rsid w:val="008532E4"/>
    <w:rsid w:val="00854DB8"/>
    <w:rsid w:val="00854EF2"/>
    <w:rsid w:val="00855623"/>
    <w:rsid w:val="00855D99"/>
    <w:rsid w:val="0086211B"/>
    <w:rsid w:val="008622CF"/>
    <w:rsid w:val="008627C6"/>
    <w:rsid w:val="00863B86"/>
    <w:rsid w:val="008652A2"/>
    <w:rsid w:val="008706CD"/>
    <w:rsid w:val="00871F69"/>
    <w:rsid w:val="008722F9"/>
    <w:rsid w:val="008813FA"/>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AE5"/>
    <w:rsid w:val="008E3CCE"/>
    <w:rsid w:val="008E3F89"/>
    <w:rsid w:val="008F26CB"/>
    <w:rsid w:val="008F36EC"/>
    <w:rsid w:val="008F3D95"/>
    <w:rsid w:val="008F6509"/>
    <w:rsid w:val="008F79D9"/>
    <w:rsid w:val="009027C8"/>
    <w:rsid w:val="00910EEF"/>
    <w:rsid w:val="00922D1B"/>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D37"/>
    <w:rsid w:val="009A610E"/>
    <w:rsid w:val="009A6BD9"/>
    <w:rsid w:val="009B289E"/>
    <w:rsid w:val="009B320F"/>
    <w:rsid w:val="009B6012"/>
    <w:rsid w:val="009B6455"/>
    <w:rsid w:val="009C0EBA"/>
    <w:rsid w:val="009C102D"/>
    <w:rsid w:val="009C2A4F"/>
    <w:rsid w:val="009C4834"/>
    <w:rsid w:val="009D10FB"/>
    <w:rsid w:val="009D1BDE"/>
    <w:rsid w:val="009D312C"/>
    <w:rsid w:val="009D4C59"/>
    <w:rsid w:val="009D7F91"/>
    <w:rsid w:val="009E20EF"/>
    <w:rsid w:val="009E26EE"/>
    <w:rsid w:val="009E6646"/>
    <w:rsid w:val="009F1C7B"/>
    <w:rsid w:val="009F21A2"/>
    <w:rsid w:val="00A00D70"/>
    <w:rsid w:val="00A00DEE"/>
    <w:rsid w:val="00A02580"/>
    <w:rsid w:val="00A0468E"/>
    <w:rsid w:val="00A201D9"/>
    <w:rsid w:val="00A27889"/>
    <w:rsid w:val="00A32D95"/>
    <w:rsid w:val="00A32FBF"/>
    <w:rsid w:val="00A3307E"/>
    <w:rsid w:val="00A407EA"/>
    <w:rsid w:val="00A51749"/>
    <w:rsid w:val="00A521B6"/>
    <w:rsid w:val="00A56962"/>
    <w:rsid w:val="00A6382F"/>
    <w:rsid w:val="00A6412C"/>
    <w:rsid w:val="00A75419"/>
    <w:rsid w:val="00A76661"/>
    <w:rsid w:val="00A76D2A"/>
    <w:rsid w:val="00A81F5B"/>
    <w:rsid w:val="00A82081"/>
    <w:rsid w:val="00A8557E"/>
    <w:rsid w:val="00A87756"/>
    <w:rsid w:val="00A903E4"/>
    <w:rsid w:val="00A91181"/>
    <w:rsid w:val="00A935AC"/>
    <w:rsid w:val="00A96424"/>
    <w:rsid w:val="00AA3D5D"/>
    <w:rsid w:val="00AA3DE0"/>
    <w:rsid w:val="00AB04BD"/>
    <w:rsid w:val="00AB299E"/>
    <w:rsid w:val="00AB3847"/>
    <w:rsid w:val="00AB395A"/>
    <w:rsid w:val="00AB507C"/>
    <w:rsid w:val="00AB606E"/>
    <w:rsid w:val="00AC096E"/>
    <w:rsid w:val="00AC4F6C"/>
    <w:rsid w:val="00AD1400"/>
    <w:rsid w:val="00AD6E76"/>
    <w:rsid w:val="00AE3EAA"/>
    <w:rsid w:val="00AE5EDF"/>
    <w:rsid w:val="00AE758A"/>
    <w:rsid w:val="00B03BC8"/>
    <w:rsid w:val="00B06261"/>
    <w:rsid w:val="00B06914"/>
    <w:rsid w:val="00B108BA"/>
    <w:rsid w:val="00B108E6"/>
    <w:rsid w:val="00B12273"/>
    <w:rsid w:val="00B14F7F"/>
    <w:rsid w:val="00B16EB9"/>
    <w:rsid w:val="00B22F24"/>
    <w:rsid w:val="00B22F53"/>
    <w:rsid w:val="00B24DBE"/>
    <w:rsid w:val="00B335D5"/>
    <w:rsid w:val="00B34EB2"/>
    <w:rsid w:val="00B4728A"/>
    <w:rsid w:val="00B517C3"/>
    <w:rsid w:val="00B518B2"/>
    <w:rsid w:val="00B526EA"/>
    <w:rsid w:val="00B5311A"/>
    <w:rsid w:val="00B536FE"/>
    <w:rsid w:val="00B55AB4"/>
    <w:rsid w:val="00B60670"/>
    <w:rsid w:val="00B645E4"/>
    <w:rsid w:val="00B73FFA"/>
    <w:rsid w:val="00B74A6E"/>
    <w:rsid w:val="00B82CC4"/>
    <w:rsid w:val="00B838C3"/>
    <w:rsid w:val="00B86218"/>
    <w:rsid w:val="00B874F1"/>
    <w:rsid w:val="00B877E0"/>
    <w:rsid w:val="00B91001"/>
    <w:rsid w:val="00B95963"/>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F0693"/>
    <w:rsid w:val="00BF6308"/>
    <w:rsid w:val="00C028BC"/>
    <w:rsid w:val="00C070DE"/>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51600"/>
    <w:rsid w:val="00C54185"/>
    <w:rsid w:val="00C57E92"/>
    <w:rsid w:val="00C60B4A"/>
    <w:rsid w:val="00C61DAD"/>
    <w:rsid w:val="00C65BDB"/>
    <w:rsid w:val="00C66C95"/>
    <w:rsid w:val="00C6738C"/>
    <w:rsid w:val="00C71A3B"/>
    <w:rsid w:val="00C757CC"/>
    <w:rsid w:val="00C76CFA"/>
    <w:rsid w:val="00C819C8"/>
    <w:rsid w:val="00C84A53"/>
    <w:rsid w:val="00C8747B"/>
    <w:rsid w:val="00C87D5B"/>
    <w:rsid w:val="00C92A5A"/>
    <w:rsid w:val="00C94FF6"/>
    <w:rsid w:val="00C963F8"/>
    <w:rsid w:val="00C96BB1"/>
    <w:rsid w:val="00CA2F80"/>
    <w:rsid w:val="00CA3ECF"/>
    <w:rsid w:val="00CB0C2A"/>
    <w:rsid w:val="00CB3B98"/>
    <w:rsid w:val="00CB7D7E"/>
    <w:rsid w:val="00CC4B2B"/>
    <w:rsid w:val="00CC51C4"/>
    <w:rsid w:val="00CC579C"/>
    <w:rsid w:val="00CC5F5F"/>
    <w:rsid w:val="00CC6BEC"/>
    <w:rsid w:val="00CC743B"/>
    <w:rsid w:val="00CD3460"/>
    <w:rsid w:val="00CD44C9"/>
    <w:rsid w:val="00CD4B61"/>
    <w:rsid w:val="00CD5043"/>
    <w:rsid w:val="00CD59E7"/>
    <w:rsid w:val="00CE066A"/>
    <w:rsid w:val="00CE2928"/>
    <w:rsid w:val="00CE314A"/>
    <w:rsid w:val="00CE5865"/>
    <w:rsid w:val="00CE737B"/>
    <w:rsid w:val="00CE7555"/>
    <w:rsid w:val="00CF3D9D"/>
    <w:rsid w:val="00CF6B77"/>
    <w:rsid w:val="00D00018"/>
    <w:rsid w:val="00D01C50"/>
    <w:rsid w:val="00D03659"/>
    <w:rsid w:val="00D11B24"/>
    <w:rsid w:val="00D11C18"/>
    <w:rsid w:val="00D12FFF"/>
    <w:rsid w:val="00D133C8"/>
    <w:rsid w:val="00D14DB8"/>
    <w:rsid w:val="00D17339"/>
    <w:rsid w:val="00D244D5"/>
    <w:rsid w:val="00D2639E"/>
    <w:rsid w:val="00D2776A"/>
    <w:rsid w:val="00D4021B"/>
    <w:rsid w:val="00D4059E"/>
    <w:rsid w:val="00D413DB"/>
    <w:rsid w:val="00D41D4E"/>
    <w:rsid w:val="00D420E2"/>
    <w:rsid w:val="00D4459D"/>
    <w:rsid w:val="00D44B24"/>
    <w:rsid w:val="00D52863"/>
    <w:rsid w:val="00D570E4"/>
    <w:rsid w:val="00D573F9"/>
    <w:rsid w:val="00D60532"/>
    <w:rsid w:val="00D6058B"/>
    <w:rsid w:val="00D608E5"/>
    <w:rsid w:val="00D62D9E"/>
    <w:rsid w:val="00D63EC5"/>
    <w:rsid w:val="00D64BC3"/>
    <w:rsid w:val="00D66C46"/>
    <w:rsid w:val="00D72C05"/>
    <w:rsid w:val="00D73575"/>
    <w:rsid w:val="00D735BF"/>
    <w:rsid w:val="00D737B6"/>
    <w:rsid w:val="00D77672"/>
    <w:rsid w:val="00D80222"/>
    <w:rsid w:val="00D847CF"/>
    <w:rsid w:val="00D87489"/>
    <w:rsid w:val="00DA015E"/>
    <w:rsid w:val="00DA0A99"/>
    <w:rsid w:val="00DA0A9D"/>
    <w:rsid w:val="00DA54D4"/>
    <w:rsid w:val="00DA7603"/>
    <w:rsid w:val="00DA7E39"/>
    <w:rsid w:val="00DA7EDE"/>
    <w:rsid w:val="00DB0223"/>
    <w:rsid w:val="00DB047C"/>
    <w:rsid w:val="00DC0AB5"/>
    <w:rsid w:val="00DC30DD"/>
    <w:rsid w:val="00DC3451"/>
    <w:rsid w:val="00DC50EB"/>
    <w:rsid w:val="00DC7F71"/>
    <w:rsid w:val="00DD19F4"/>
    <w:rsid w:val="00DD3FA0"/>
    <w:rsid w:val="00DE24D5"/>
    <w:rsid w:val="00DE5B2D"/>
    <w:rsid w:val="00DE5C3E"/>
    <w:rsid w:val="00DE5CE9"/>
    <w:rsid w:val="00DF45BB"/>
    <w:rsid w:val="00DF729A"/>
    <w:rsid w:val="00E006DC"/>
    <w:rsid w:val="00E03064"/>
    <w:rsid w:val="00E03F9C"/>
    <w:rsid w:val="00E04BD5"/>
    <w:rsid w:val="00E070D2"/>
    <w:rsid w:val="00E100F5"/>
    <w:rsid w:val="00E1139A"/>
    <w:rsid w:val="00E126EB"/>
    <w:rsid w:val="00E1539C"/>
    <w:rsid w:val="00E162B6"/>
    <w:rsid w:val="00E16E01"/>
    <w:rsid w:val="00E20FC8"/>
    <w:rsid w:val="00E24A50"/>
    <w:rsid w:val="00E25A69"/>
    <w:rsid w:val="00E31469"/>
    <w:rsid w:val="00E3296A"/>
    <w:rsid w:val="00E35639"/>
    <w:rsid w:val="00E4188A"/>
    <w:rsid w:val="00E420AA"/>
    <w:rsid w:val="00E432CC"/>
    <w:rsid w:val="00E47FF2"/>
    <w:rsid w:val="00E50711"/>
    <w:rsid w:val="00E52522"/>
    <w:rsid w:val="00E531C9"/>
    <w:rsid w:val="00E60AD3"/>
    <w:rsid w:val="00E60EDA"/>
    <w:rsid w:val="00E62BBC"/>
    <w:rsid w:val="00E67BAE"/>
    <w:rsid w:val="00E711AE"/>
    <w:rsid w:val="00E716F3"/>
    <w:rsid w:val="00E774F6"/>
    <w:rsid w:val="00E9503C"/>
    <w:rsid w:val="00E956D9"/>
    <w:rsid w:val="00EA10DA"/>
    <w:rsid w:val="00EA1958"/>
    <w:rsid w:val="00EA29F5"/>
    <w:rsid w:val="00EA482D"/>
    <w:rsid w:val="00EA52B3"/>
    <w:rsid w:val="00EA6938"/>
    <w:rsid w:val="00EB5FE6"/>
    <w:rsid w:val="00EB61A5"/>
    <w:rsid w:val="00EB6C1B"/>
    <w:rsid w:val="00EB7A09"/>
    <w:rsid w:val="00EC04A5"/>
    <w:rsid w:val="00EC0EDC"/>
    <w:rsid w:val="00EC5AF4"/>
    <w:rsid w:val="00EC6FA8"/>
    <w:rsid w:val="00EC7E0B"/>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6708"/>
    <w:rsid w:val="00F30FF2"/>
    <w:rsid w:val="00F32CEC"/>
    <w:rsid w:val="00F37F29"/>
    <w:rsid w:val="00F42243"/>
    <w:rsid w:val="00F45608"/>
    <w:rsid w:val="00F47E3B"/>
    <w:rsid w:val="00F511EE"/>
    <w:rsid w:val="00F52475"/>
    <w:rsid w:val="00F54576"/>
    <w:rsid w:val="00F55574"/>
    <w:rsid w:val="00F558E7"/>
    <w:rsid w:val="00F60363"/>
    <w:rsid w:val="00F62016"/>
    <w:rsid w:val="00F63F44"/>
    <w:rsid w:val="00F6401B"/>
    <w:rsid w:val="00F65243"/>
    <w:rsid w:val="00F6746D"/>
    <w:rsid w:val="00F675D5"/>
    <w:rsid w:val="00F753D1"/>
    <w:rsid w:val="00F7766D"/>
    <w:rsid w:val="00F811CD"/>
    <w:rsid w:val="00F82D8F"/>
    <w:rsid w:val="00F83F62"/>
    <w:rsid w:val="00F907EB"/>
    <w:rsid w:val="00F9711D"/>
    <w:rsid w:val="00FA011F"/>
    <w:rsid w:val="00FA1DCF"/>
    <w:rsid w:val="00FA3E3A"/>
    <w:rsid w:val="00FA7544"/>
    <w:rsid w:val="00FA75E0"/>
    <w:rsid w:val="00FA7771"/>
    <w:rsid w:val="00FB0DC9"/>
    <w:rsid w:val="00FB20B1"/>
    <w:rsid w:val="00FB3AB4"/>
    <w:rsid w:val="00FB6188"/>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uslaboris.tst.jus.br/bitstream/handle/20.500.12178/130709/2018_informativo_tst_cjur_n0177.pdf?search-result=true&amp;query=ju%C3%ADzo+universal&amp;current-scope=&amp;filter_relational_operator_3=contains&amp;filter_relational_operator_2=contains&amp;filter_relational_operator_4=contains&amp;filter_0=Peri%C3%B3dico&amp;filter_relational_operator_1=equals&amp;filter_2=&amp;filter_relational_operator_0=equals&amp;filter_1=Brasil.+Tribunal+Superior+do+Trabalho+%28TST%29.+Coordenadoria+de+Jurisprud%C3%AAncia+%28CJUR%29&amp;filter_4=Informativo&amp;filter_3=&amp;filtertype_0=type&amp;filtertype_1=author&amp;filtertype_2=numdoc&amp;filtertype_3=IssuedCreated&amp;filtertype_4=dc.description&amp;rpp=10&amp;sort_by=score&amp;order=des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348&amp;digitoTst=74&amp;anoTst=2016&amp;orgaoTst=5&amp;tribunalTst=13&amp;varaTst=00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397&amp;digitoTst=56&amp;anoTst=2010&amp;orgaoTst=5&amp;tribunalTst=01&amp;varaTst=003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aplicacao4.tst.jus.br/consultaProcessual/consultaTstNumUnica.do?consulta=Consultar&amp;conscsjt=&amp;numeroTst=1000351&amp;digitoTst=52&amp;anoTst=2015&amp;orgaoTst=5&amp;tribunalTst=02&amp;varaTst=000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560&amp;digitoTst=36&amp;anoTst=2016&amp;orgaoTst=5&amp;tribunalTst=08&amp;varaTst=000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82FF5-5C72-4966-B859-29604EB1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1208</Words>
  <Characters>6524</Characters>
  <Application>Microsoft Office Word</Application>
  <DocSecurity>4</DocSecurity>
  <Lines>54</Lines>
  <Paragraphs>15</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7717</CharactersWithSpaces>
  <SharedDoc>false</SharedDoc>
  <HLinks>
    <vt:vector size="30" baseType="variant">
      <vt:variant>
        <vt:i4>262258</vt:i4>
      </vt:variant>
      <vt:variant>
        <vt:i4>12</vt:i4>
      </vt:variant>
      <vt:variant>
        <vt:i4>0</vt:i4>
      </vt:variant>
      <vt:variant>
        <vt:i4>5</vt:i4>
      </vt:variant>
      <vt:variant>
        <vt:lpwstr>https://juslaboris.tst.jus.br/bitstream/handle/20.500.12178/130709/2018_informativo_tst_cjur_n0177.pdf?search-result=true&amp;query=ju%C3%ADzo+universal&amp;current-scope=&amp;filter_relational_operator_3=contains&amp;filter_relational_operator_2=contains&amp;filter_relational_operator_4=contains&amp;filter_0=Peri%C3%B3dico&amp;filter_relational_operator_1=equals&amp;filter_2=&amp;filter_relational_operator_0=equals&amp;filter_1=Brasil.+Tribunal+Superior+do+Trabalho+%28TST%29.+Coordenadoria+de+Jurisprud%C3%AAncia+%28CJUR%29&amp;filter_4=Informativo&amp;filter_3=&amp;filtertype_0=type&amp;filtertype_1=author&amp;filtertype_2=numdoc&amp;filtertype_3=IssuedCreated&amp;filtertype_4=dc.description&amp;rpp=10&amp;sort_by=score&amp;order=desc</vt:lpwstr>
      </vt:variant>
      <vt:variant>
        <vt:lpwstr/>
      </vt:variant>
      <vt:variant>
        <vt:i4>5898242</vt:i4>
      </vt:variant>
      <vt:variant>
        <vt:i4>9</vt:i4>
      </vt:variant>
      <vt:variant>
        <vt:i4>0</vt:i4>
      </vt:variant>
      <vt:variant>
        <vt:i4>5</vt:i4>
      </vt:variant>
      <vt:variant>
        <vt:lpwstr>http://aplicacao4.tst.jus.br/consultaProcessual/consultaTstNumUnica.do?consulta=Consultar&amp;conscsjt=&amp;numeroTst=348&amp;digitoTst=74&amp;anoTst=2016&amp;orgaoTst=5&amp;tribunalTst=13&amp;varaTst=0000</vt:lpwstr>
      </vt:variant>
      <vt:variant>
        <vt:lpwstr/>
      </vt:variant>
      <vt:variant>
        <vt:i4>5373966</vt:i4>
      </vt:variant>
      <vt:variant>
        <vt:i4>6</vt:i4>
      </vt:variant>
      <vt:variant>
        <vt:i4>0</vt:i4>
      </vt:variant>
      <vt:variant>
        <vt:i4>5</vt:i4>
      </vt:variant>
      <vt:variant>
        <vt:lpwstr>http://aplicacao4.tst.jus.br/consultaProcessual/consultaTstNumUnica.do?consulta=Consultar&amp;conscsjt=&amp;numeroTst=397&amp;digitoTst=56&amp;anoTst=2010&amp;orgaoTst=5&amp;tribunalTst=01&amp;varaTst=0034</vt:lpwstr>
      </vt:variant>
      <vt:variant>
        <vt:lpwstr/>
      </vt:variant>
      <vt:variant>
        <vt:i4>6225929</vt:i4>
      </vt:variant>
      <vt:variant>
        <vt:i4>3</vt:i4>
      </vt:variant>
      <vt:variant>
        <vt:i4>0</vt:i4>
      </vt:variant>
      <vt:variant>
        <vt:i4>5</vt:i4>
      </vt:variant>
      <vt:variant>
        <vt:lpwstr>http://aplicacao4.tst.jus.br/consultaProcessual/consultaTstNumUnica.do?consulta=Consultar&amp;conscsjt=&amp;numeroTst=1000351&amp;digitoTst=52&amp;anoTst=2015&amp;orgaoTst=5&amp;tribunalTst=02&amp;varaTst=0000</vt:lpwstr>
      </vt:variant>
      <vt:variant>
        <vt:lpwstr/>
      </vt:variant>
      <vt:variant>
        <vt:i4>5308425</vt:i4>
      </vt:variant>
      <vt:variant>
        <vt:i4>0</vt:i4>
      </vt:variant>
      <vt:variant>
        <vt:i4>0</vt:i4>
      </vt:variant>
      <vt:variant>
        <vt:i4>5</vt:i4>
      </vt:variant>
      <vt:variant>
        <vt:lpwstr>http://aplicacao4.tst.jus.br/consultaProcessual/consultaTstNumUnica.do?consulta=Consultar&amp;conscsjt=&amp;numeroTst=560&amp;digitoTst=36&amp;anoTst=2016&amp;orgaoTst=5&amp;tribunalTst=08&amp;varaTst=0000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C050719</cp:lastModifiedBy>
  <cp:revision>2</cp:revision>
  <cp:lastPrinted>2017-03-06T19:28:00Z</cp:lastPrinted>
  <dcterms:created xsi:type="dcterms:W3CDTF">2018-05-23T18:11:00Z</dcterms:created>
  <dcterms:modified xsi:type="dcterms:W3CDTF">2018-05-23T18:11:00Z</dcterms:modified>
</cp:coreProperties>
</file>