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B03BC8" w:rsidRPr="001872A4" w:rsidRDefault="00B03BC8" w:rsidP="00B03BC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2A4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FA1DCF" w:rsidRPr="00FA1DCF" w:rsidRDefault="00FA1DCF" w:rsidP="00B03BC8">
      <w:pPr>
        <w:jc w:val="both"/>
        <w:rPr>
          <w:sz w:val="24"/>
          <w:szCs w:val="24"/>
          <w:u w:val="single"/>
        </w:rPr>
      </w:pPr>
    </w:p>
    <w:p w:rsidR="00D12FFF" w:rsidRPr="00B4525E" w:rsidRDefault="00D12FFF" w:rsidP="00D12FFF">
      <w:pPr>
        <w:jc w:val="both"/>
        <w:rPr>
          <w:b/>
          <w:i/>
          <w:sz w:val="24"/>
          <w:szCs w:val="24"/>
        </w:rPr>
      </w:pPr>
      <w:r w:rsidRPr="00ED5EF4">
        <w:rPr>
          <w:b/>
          <w:i/>
          <w:sz w:val="24"/>
          <w:szCs w:val="24"/>
        </w:rPr>
        <w:t xml:space="preserve">Representação processual. </w:t>
      </w:r>
      <w:r>
        <w:rPr>
          <w:b/>
          <w:i/>
          <w:sz w:val="24"/>
          <w:szCs w:val="24"/>
        </w:rPr>
        <w:t>A</w:t>
      </w:r>
      <w:r w:rsidRPr="00ED5EF4">
        <w:rPr>
          <w:b/>
          <w:i/>
          <w:sz w:val="24"/>
          <w:szCs w:val="24"/>
        </w:rPr>
        <w:t xml:space="preserve">lteração da denominação social da empresa. Ausência de comprovação. </w:t>
      </w:r>
      <w:r>
        <w:rPr>
          <w:b/>
          <w:i/>
          <w:sz w:val="24"/>
          <w:szCs w:val="24"/>
        </w:rPr>
        <w:t xml:space="preserve">Ilegitimidade de parte. </w:t>
      </w:r>
    </w:p>
    <w:p w:rsidR="00D12FFF" w:rsidRDefault="00D12FFF" w:rsidP="00D12FFF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/>
        </w:rPr>
        <w:t xml:space="preserve">A parte que teve sua denominação social alterada deve fazer prova da mudança nos autos e juntar instrumento de mandato contendo a nova razão social, sob pena de configurar-se a irregularidade de representação e a inexistência do recurso.  Na espécie, o Banco Santander Banespa S.A. (atualmente Banco Santander S.A.), ao interpor recurso de revista, apresentou novo instrumento de mandato, mas deixou de fazer prova de que era a atual razão social do Banco Banespa S.A., parte reclamada na ação trabalhista. Assim, configurada a ilegitimidade para recorrer do Banco Santander S.A., a SBDI-I, por unanimidade, conheceu dos embargos, por divergência jurisprudencial, e, no mérito, deu-lhes provimento para restabelecer integralmente o acórdão do Regional. </w:t>
      </w:r>
      <w:hyperlink r:id="rId9" w:history="1">
        <w:r w:rsidRPr="0089707B">
          <w:rPr>
            <w:rStyle w:val="Hyperlink"/>
            <w:rFonts w:ascii="Times New Roman" w:hAnsi="Times New Roman" w:cs="Courier New"/>
            <w:lang w:val="pt-BR"/>
          </w:rPr>
          <w:t>TST-E-ED-RR-33100-87.2006.5.02.0087</w:t>
        </w:r>
      </w:hyperlink>
      <w:r w:rsidRPr="00C13FED">
        <w:rPr>
          <w:rFonts w:ascii="Times New Roman" w:hAnsi="Times New Roman"/>
          <w:u w:val="single"/>
          <w:lang w:val="pt-BR"/>
        </w:rPr>
        <w:t>, SBDI-I, rel. Min. Cláudio Mascarenhas Brandão, 31.8.2017</w:t>
      </w:r>
    </w:p>
    <w:p w:rsidR="00D12FFF" w:rsidRDefault="00D12FFF" w:rsidP="00D12FFF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D12FFF" w:rsidRDefault="00D12FFF" w:rsidP="00D12FF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Intervalo intrajornada. Redução. Art. 71, § 3º, da CLT. Prova da publicação da portaria de autorização do Ministério do Trabalho. Desnecessidade. </w:t>
      </w:r>
    </w:p>
    <w:p w:rsidR="00D12FFF" w:rsidRDefault="00D12FFF" w:rsidP="00D12FF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Preenchidos os requisitos do art. 71, § 3º, da CLT (refeitório adequado, ausência de prorrogação de jornada e ato do Ministério do Trabalho), é valida a redução do intervalo intrajornada pelo empregador, não havendo necessidade de comprovar nos autos a publicação oficial da portaria do Ministério do Trabalho que autorizou a referida redução. Trata-se de ato administrativo dotado de presunção de veracidade e legitimidade, de modo que a simples ausência de prova de publicação não tem o condão de obstar a validade da redução do intervalo intrajornada. Sob esse fundamento, a SBDI-I, à unanimidade, conheceu do recurso de embargos da empresa reclamada, por divergência jurisprudencial, e, no mérito, por maioria, deu-lhe provimento para restabelecer o acórdão do Regional na parte em que manteve a improcedência do pedido de pagamento do intervalo intrajornada suprimido. Vencido o Ministro </w:t>
      </w:r>
      <w:r w:rsidRPr="00D12FFF">
        <w:rPr>
          <w:rFonts w:eastAsia="Calibri"/>
          <w:sz w:val="24"/>
          <w:szCs w:val="24"/>
        </w:rPr>
        <w:t xml:space="preserve">José Roberto Freire Pimenta. </w:t>
      </w:r>
      <w:hyperlink r:id="rId10" w:history="1">
        <w:r w:rsidRPr="00566BC6">
          <w:rPr>
            <w:rStyle w:val="Hyperlink"/>
            <w:sz w:val="24"/>
            <w:szCs w:val="24"/>
          </w:rPr>
          <w:t>TST-E-ARR-42-19.2014.5.12.0028</w:t>
        </w:r>
      </w:hyperlink>
      <w:r>
        <w:rPr>
          <w:sz w:val="24"/>
          <w:szCs w:val="24"/>
          <w:u w:val="single"/>
        </w:rPr>
        <w:t>, SBDI-I, rel. Min. Augusto César Leite de Carvalho, 31.8.2017</w:t>
      </w:r>
    </w:p>
    <w:p w:rsidR="00D12FFF" w:rsidRDefault="00D12FFF" w:rsidP="00D12FFF">
      <w:pPr>
        <w:jc w:val="both"/>
        <w:rPr>
          <w:sz w:val="24"/>
          <w:szCs w:val="24"/>
          <w:u w:val="single"/>
        </w:rPr>
      </w:pPr>
    </w:p>
    <w:p w:rsidR="00D12FFF" w:rsidRPr="008D7CCA" w:rsidRDefault="00D12FFF" w:rsidP="00D12FFF">
      <w:pPr>
        <w:jc w:val="both"/>
        <w:rPr>
          <w:b/>
        </w:rPr>
      </w:pPr>
      <w:r w:rsidRPr="00566C68">
        <w:rPr>
          <w:b/>
          <w:i/>
          <w:sz w:val="24"/>
          <w:szCs w:val="24"/>
        </w:rPr>
        <w:t>Erro no nome da parte. Existência de outros elementos de identificação.  Ausência de prejuízo para a parte adversa. Erro material sanável.</w:t>
      </w:r>
    </w:p>
    <w:p w:rsidR="00D12FFF" w:rsidRPr="00566C68" w:rsidRDefault="00D12FFF" w:rsidP="00D12FFF">
      <w:pPr>
        <w:jc w:val="both"/>
        <w:rPr>
          <w:b/>
          <w:i/>
          <w:sz w:val="24"/>
          <w:szCs w:val="24"/>
        </w:rPr>
      </w:pPr>
      <w:r w:rsidRPr="00D12FFF">
        <w:rPr>
          <w:sz w:val="24"/>
          <w:szCs w:val="24"/>
        </w:rPr>
        <w:t xml:space="preserve">A indicação incorreta do nome da parte recorrente caracteriza erro material sanável, tendo em vista o caráter instrumental e finalístico do processo. Assim, não há falar em ilegitimidade da parte e em falta de interesse recursal se os demais dados alusivos ao processo não foram inquinados de erro, e se não foi demonstrado prejuízo para a parte adversa. No caso, apesar de na primeira folha dos embargos de declaração constar como recorrente parte estranha à lide, tal erro não tem o condão de impedir a análise do recurso, sobretudo porque possível identificar o feito por outros elementos, tais como a indicação correta do número da reclamação trabalhista, do número do CPF do reclamante, do nome da empresa reclamada e do respectivo número do CNPJ. Sob esses fundamentos, a SBDI-I, por unanimidade, conheceu dos embargos, por divergência jurisprudencial, e, no mérito, por maioria, deu-lhes provimento para determinar o retorno dos autos à Turma de origem para que prossiga no exame dos embargos de declaração, como entender de direito. Vencido o Ministro João </w:t>
      </w:r>
      <w:r w:rsidRPr="00D12FFF">
        <w:rPr>
          <w:sz w:val="24"/>
          <w:szCs w:val="24"/>
        </w:rPr>
        <w:lastRenderedPageBreak/>
        <w:t xml:space="preserve">Oreste Dalazen. </w:t>
      </w:r>
      <w:hyperlink r:id="rId11" w:history="1">
        <w:r w:rsidRPr="00C92A5A">
          <w:rPr>
            <w:rStyle w:val="Hyperlink"/>
            <w:sz w:val="24"/>
            <w:szCs w:val="24"/>
          </w:rPr>
          <w:t>TST-E-ED-ED-RR-122500-12.2008.5.15.0013</w:t>
        </w:r>
      </w:hyperlink>
      <w:r w:rsidRPr="00D12FFF">
        <w:rPr>
          <w:sz w:val="24"/>
          <w:szCs w:val="24"/>
          <w:u w:val="single"/>
        </w:rPr>
        <w:t>, SBDI-I, rel. Min. Augusto César Leite de Carvalho, 31.8.2017</w:t>
      </w:r>
    </w:p>
    <w:p w:rsidR="00D12FFF" w:rsidRDefault="00D12FFF" w:rsidP="00D12FFF">
      <w:pPr>
        <w:jc w:val="both"/>
        <w:rPr>
          <w:b/>
          <w:i/>
          <w:sz w:val="24"/>
          <w:szCs w:val="24"/>
        </w:rPr>
      </w:pPr>
    </w:p>
    <w:p w:rsidR="00D12FFF" w:rsidRDefault="00D12FFF" w:rsidP="00D12FFF">
      <w:pPr>
        <w:jc w:val="both"/>
        <w:rPr>
          <w:b/>
          <w:i/>
          <w:sz w:val="24"/>
          <w:szCs w:val="24"/>
        </w:rPr>
      </w:pPr>
      <w:r w:rsidRPr="00977DAC">
        <w:rPr>
          <w:b/>
          <w:i/>
          <w:sz w:val="24"/>
          <w:szCs w:val="24"/>
        </w:rPr>
        <w:t>Dano moral</w:t>
      </w:r>
      <w:r>
        <w:rPr>
          <w:b/>
          <w:i/>
          <w:sz w:val="24"/>
          <w:szCs w:val="24"/>
        </w:rPr>
        <w:t xml:space="preserve">. Não configuração. </w:t>
      </w:r>
      <w:r w:rsidRPr="00977DAC">
        <w:rPr>
          <w:b/>
          <w:i/>
          <w:sz w:val="24"/>
          <w:szCs w:val="24"/>
        </w:rPr>
        <w:t>Atribuição de conduta desidiosa</w:t>
      </w:r>
      <w:r>
        <w:rPr>
          <w:b/>
          <w:i/>
          <w:sz w:val="24"/>
          <w:szCs w:val="24"/>
        </w:rPr>
        <w:t xml:space="preserve"> ao empregado. </w:t>
      </w:r>
      <w:r w:rsidRPr="00977DAC">
        <w:rPr>
          <w:b/>
          <w:i/>
          <w:sz w:val="24"/>
          <w:szCs w:val="24"/>
        </w:rPr>
        <w:t xml:space="preserve">Reversão da justa causa em juízo. Ausência de </w:t>
      </w:r>
      <w:r>
        <w:rPr>
          <w:b/>
          <w:i/>
          <w:sz w:val="24"/>
          <w:szCs w:val="24"/>
        </w:rPr>
        <w:t>ato</w:t>
      </w:r>
      <w:r w:rsidRPr="00977DAC">
        <w:rPr>
          <w:b/>
          <w:i/>
          <w:sz w:val="24"/>
          <w:szCs w:val="24"/>
        </w:rPr>
        <w:t xml:space="preserve"> ilícito a ser atribuído à empresa. </w:t>
      </w:r>
    </w:p>
    <w:p w:rsidR="00D12FFF" w:rsidRDefault="00D12FFF" w:rsidP="00D12FFF">
      <w:pPr>
        <w:jc w:val="both"/>
        <w:rPr>
          <w:sz w:val="24"/>
          <w:szCs w:val="24"/>
          <w:u w:val="single"/>
        </w:rPr>
      </w:pPr>
      <w:r w:rsidRPr="00977DA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simples </w:t>
      </w:r>
      <w:r w:rsidRPr="00977DAC">
        <w:rPr>
          <w:sz w:val="24"/>
          <w:szCs w:val="24"/>
        </w:rPr>
        <w:t>dispensa por justa causa</w:t>
      </w:r>
      <w:r>
        <w:rPr>
          <w:sz w:val="24"/>
          <w:szCs w:val="24"/>
        </w:rPr>
        <w:t>, com atribuição de conduta desidiosa ao empregado,</w:t>
      </w:r>
      <w:r w:rsidRPr="00977DAC">
        <w:rPr>
          <w:sz w:val="24"/>
          <w:szCs w:val="24"/>
        </w:rPr>
        <w:t xml:space="preserve"> não caracteriza</w:t>
      </w:r>
      <w:r>
        <w:rPr>
          <w:sz w:val="24"/>
          <w:szCs w:val="24"/>
        </w:rPr>
        <w:t>, por si só,</w:t>
      </w:r>
      <w:r w:rsidRPr="00977DAC">
        <w:rPr>
          <w:sz w:val="24"/>
          <w:szCs w:val="24"/>
        </w:rPr>
        <w:t xml:space="preserve"> ato ilícito ou abuso do poder potestativo do empregador, ainda que haja reversão d</w:t>
      </w:r>
      <w:r>
        <w:rPr>
          <w:sz w:val="24"/>
          <w:szCs w:val="24"/>
        </w:rPr>
        <w:t xml:space="preserve">a aludida justa causa </w:t>
      </w:r>
      <w:r w:rsidRPr="00977DAC">
        <w:rPr>
          <w:sz w:val="24"/>
          <w:szCs w:val="24"/>
        </w:rPr>
        <w:t xml:space="preserve">em juízo. A existência de lesão à honra e à imagem do trabalhador deve ser </w:t>
      </w:r>
      <w:r>
        <w:rPr>
          <w:sz w:val="24"/>
          <w:szCs w:val="24"/>
        </w:rPr>
        <w:t>dem</w:t>
      </w:r>
      <w:r w:rsidRPr="00977DAC">
        <w:rPr>
          <w:sz w:val="24"/>
          <w:szCs w:val="24"/>
        </w:rPr>
        <w:t xml:space="preserve">onstrada. </w:t>
      </w:r>
      <w:r w:rsidRPr="002210B3">
        <w:rPr>
          <w:sz w:val="24"/>
          <w:szCs w:val="24"/>
        </w:rPr>
        <w:t>Desse modo</w:t>
      </w:r>
      <w:r>
        <w:rPr>
          <w:sz w:val="24"/>
          <w:szCs w:val="24"/>
        </w:rPr>
        <w:t>,</w:t>
      </w:r>
      <w:r w:rsidRPr="00977DAC">
        <w:rPr>
          <w:sz w:val="24"/>
          <w:szCs w:val="24"/>
        </w:rPr>
        <w:t xml:space="preserve"> se não provada a má-fé do empregador, ao imputar falta grave ao empregado, nem qualquer publicidade acerca de qual fato determinou a justa causa, não se caracteriza o dano moral apto a ensejar a reparação pleiteada. </w:t>
      </w:r>
      <w:r w:rsidRPr="002A0368">
        <w:rPr>
          <w:sz w:val="24"/>
          <w:szCs w:val="24"/>
        </w:rPr>
        <w:t>Sob esses fundamentos, a SBDI-I decidiu</w:t>
      </w:r>
      <w:r>
        <w:rPr>
          <w:sz w:val="24"/>
          <w:szCs w:val="24"/>
        </w:rPr>
        <w:t>,</w:t>
      </w:r>
      <w:r w:rsidRPr="002A0368">
        <w:rPr>
          <w:sz w:val="24"/>
          <w:szCs w:val="24"/>
        </w:rPr>
        <w:t xml:space="preserve"> </w:t>
      </w:r>
      <w:r w:rsidRPr="00977DAC">
        <w:rPr>
          <w:sz w:val="24"/>
          <w:szCs w:val="24"/>
        </w:rPr>
        <w:t>por unanimidade, conhecer do recurso de embargos da reclamante por divergência jurisprudencial e, no mérito, por maioria, negar-lhe provimento. Vencidos os Ministros José Roberto Freire Pimenta, Augusto César Leite de Carvalho, Hugo Carlos Scheuermann, Alexandre Agra Belmonte e Cláudio Mascarenhas Brandão.</w:t>
      </w:r>
      <w:r>
        <w:rPr>
          <w:sz w:val="24"/>
          <w:szCs w:val="24"/>
        </w:rPr>
        <w:t xml:space="preserve"> </w:t>
      </w:r>
      <w:hyperlink r:id="rId12" w:history="1">
        <w:r w:rsidRPr="00C92A5A">
          <w:rPr>
            <w:rStyle w:val="Hyperlink"/>
            <w:sz w:val="24"/>
            <w:szCs w:val="24"/>
          </w:rPr>
          <w:t>TST-E-ED-RR-737000-44.2004.5.09.0012,</w:t>
        </w:r>
      </w:hyperlink>
      <w:r w:rsidRPr="007D253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SBDI-I</w:t>
      </w:r>
      <w:r w:rsidRPr="007D253C">
        <w:rPr>
          <w:sz w:val="24"/>
          <w:szCs w:val="24"/>
          <w:u w:val="single"/>
        </w:rPr>
        <w:t xml:space="preserve">, rel. Min. </w:t>
      </w:r>
      <w:r w:rsidRPr="00AB7170">
        <w:rPr>
          <w:sz w:val="24"/>
          <w:szCs w:val="24"/>
          <w:u w:val="single"/>
        </w:rPr>
        <w:t xml:space="preserve">Aloysio Corrêa </w:t>
      </w:r>
      <w:r>
        <w:rPr>
          <w:sz w:val="24"/>
          <w:szCs w:val="24"/>
          <w:u w:val="single"/>
        </w:rPr>
        <w:t>d</w:t>
      </w:r>
      <w:r w:rsidRPr="00AB7170">
        <w:rPr>
          <w:sz w:val="24"/>
          <w:szCs w:val="24"/>
          <w:u w:val="single"/>
        </w:rPr>
        <w:t>a Veiga</w:t>
      </w:r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31.8.2017</w:t>
      </w:r>
      <w:r w:rsidRPr="00D70747">
        <w:rPr>
          <w:sz w:val="24"/>
          <w:szCs w:val="24"/>
        </w:rPr>
        <w:t xml:space="preserve"> </w:t>
      </w:r>
      <w:r w:rsidRPr="00D70747">
        <w:rPr>
          <w:szCs w:val="24"/>
        </w:rPr>
        <w:t>(*Ver Informativo TST nºs 7</w:t>
      </w:r>
      <w:r>
        <w:rPr>
          <w:szCs w:val="24"/>
        </w:rPr>
        <w:t>, 24, 70 e 117</w:t>
      </w:r>
      <w:r w:rsidRPr="00D70747">
        <w:rPr>
          <w:szCs w:val="24"/>
        </w:rPr>
        <w:t>)</w:t>
      </w:r>
    </w:p>
    <w:p w:rsidR="00D12FFF" w:rsidRPr="0089707B" w:rsidRDefault="00D12FFF" w:rsidP="00D12FFF">
      <w:pPr>
        <w:jc w:val="center"/>
        <w:rPr>
          <w:b/>
          <w:i/>
          <w:sz w:val="24"/>
          <w:szCs w:val="24"/>
        </w:rPr>
      </w:pPr>
    </w:p>
    <w:p w:rsidR="00D12FFF" w:rsidRDefault="00D12FFF" w:rsidP="00D12FFF">
      <w:pPr>
        <w:jc w:val="both"/>
        <w:rPr>
          <w:b/>
          <w:i/>
          <w:color w:val="FF0000"/>
          <w:sz w:val="24"/>
          <w:szCs w:val="24"/>
        </w:rPr>
      </w:pPr>
      <w:r w:rsidRPr="00F47492">
        <w:rPr>
          <w:b/>
          <w:i/>
          <w:sz w:val="24"/>
          <w:szCs w:val="24"/>
        </w:rPr>
        <w:t>Indenização por dano moral. Valor da condenação. Conhecimento</w:t>
      </w:r>
      <w:r>
        <w:rPr>
          <w:b/>
          <w:i/>
          <w:sz w:val="24"/>
          <w:szCs w:val="24"/>
        </w:rPr>
        <w:t xml:space="preserve"> do recurso de revista por violação d</w:t>
      </w:r>
      <w:r w:rsidRPr="00F47492">
        <w:rPr>
          <w:b/>
          <w:i/>
          <w:sz w:val="24"/>
          <w:szCs w:val="24"/>
        </w:rPr>
        <w:t>o art. 5º, X, da CF. Possibilidade.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D12FFF" w:rsidRDefault="00D12FFF" w:rsidP="00D12FFF">
      <w:pPr>
        <w:jc w:val="both"/>
        <w:rPr>
          <w:b/>
          <w:color w:val="FF0000"/>
        </w:rPr>
      </w:pPr>
      <w:r>
        <w:rPr>
          <w:sz w:val="24"/>
          <w:szCs w:val="24"/>
        </w:rPr>
        <w:t xml:space="preserve">O recurso de revista que se insurge contra o valor da indenização fixada a título de danos morais comporta conhecimento por violação do art. 5º, X, da CF, conforme a jurisprudência prevalente do TST. Sob esse fundamento, a SBDI-I, por unanimidade, conheceu dos embargos, por divergência jurisprudencial, e, no mérito, negou-lhes provimento, mantendo, assim, a decisão turmária que conhecera do recurso de revista do reclamante por violação do art. 5º, X, da CF, e dera-lhe provimento para restabelecer a sentença quanto ao valor da indenização por danos morais. </w:t>
      </w:r>
      <w:hyperlink r:id="rId13" w:history="1">
        <w:r w:rsidRPr="004B3D82">
          <w:rPr>
            <w:rStyle w:val="Hyperlink"/>
            <w:sz w:val="24"/>
            <w:szCs w:val="24"/>
          </w:rPr>
          <w:t>TST-E-ED-RR-298300-34.2009.5.12.0003</w:t>
        </w:r>
      </w:hyperlink>
      <w:r w:rsidRPr="00B4525E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Hugo Carlos Scheuermann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24</w:t>
      </w:r>
      <w:r w:rsidRPr="00B452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8.2017</w:t>
      </w:r>
    </w:p>
    <w:p w:rsidR="00D12FFF" w:rsidRDefault="00D12FFF" w:rsidP="00D12FFF">
      <w:pPr>
        <w:jc w:val="both"/>
        <w:rPr>
          <w:b/>
          <w:i/>
          <w:sz w:val="24"/>
          <w:szCs w:val="24"/>
        </w:rPr>
      </w:pPr>
    </w:p>
    <w:p w:rsidR="00D12FFF" w:rsidRPr="00AA627A" w:rsidRDefault="00D12FFF" w:rsidP="00D12FFF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/>
        </w:rPr>
      </w:pPr>
    </w:p>
    <w:p w:rsidR="00963D6F" w:rsidRDefault="00963D6F" w:rsidP="00C6738C">
      <w:pPr>
        <w:rPr>
          <w:sz w:val="10"/>
          <w:szCs w:val="10"/>
        </w:rPr>
      </w:pPr>
    </w:p>
    <w:p w:rsidR="00963D6F" w:rsidRDefault="00963D6F" w:rsidP="00C6738C">
      <w:pPr>
        <w:rPr>
          <w:sz w:val="10"/>
          <w:szCs w:val="10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5A" w:rsidRDefault="00AB395A">
      <w:r>
        <w:separator/>
      </w:r>
    </w:p>
  </w:endnote>
  <w:endnote w:type="continuationSeparator" w:id="0">
    <w:p w:rsidR="00AB395A" w:rsidRDefault="00AB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72A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1872A4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1872A4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5A" w:rsidRDefault="00AB395A">
      <w:r>
        <w:separator/>
      </w:r>
    </w:p>
  </w:footnote>
  <w:footnote w:type="continuationSeparator" w:id="0">
    <w:p w:rsidR="00AB395A" w:rsidRDefault="00AB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1872A4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872A4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</w:t>
    </w:r>
    <w:r w:rsidR="00A02580" w:rsidRPr="001872A4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D12FFF" w:rsidRPr="001872A4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:rsidR="0027684A" w:rsidRPr="005D1DE4" w:rsidRDefault="001872A4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FA1DCF">
      <w:rPr>
        <w:i/>
        <w:iCs/>
      </w:rPr>
      <w:t>2</w:t>
    </w:r>
    <w:r w:rsidR="00D12FFF">
      <w:rPr>
        <w:i/>
        <w:iCs/>
      </w:rPr>
      <w:t>2</w:t>
    </w:r>
    <w:r w:rsidR="00FA1DCF">
      <w:rPr>
        <w:i/>
        <w:iCs/>
      </w:rPr>
      <w:t xml:space="preserve"> de agosto </w:t>
    </w:r>
    <w:r w:rsidR="00D12FFF">
      <w:rPr>
        <w:i/>
        <w:iCs/>
      </w:rPr>
      <w:t>a 11 de setembro</w:t>
    </w:r>
    <w:r w:rsidR="007023BC">
      <w:rPr>
        <w:i/>
        <w:iCs/>
      </w:rPr>
      <w:t xml:space="preserve"> </w:t>
    </w:r>
    <w:r w:rsidR="00063834">
      <w:rPr>
        <w:i/>
        <w:iCs/>
      </w:rPr>
      <w:t>de</w:t>
    </w:r>
    <w:r w:rsidR="0027684A">
      <w:rPr>
        <w:i/>
        <w:iCs/>
      </w:rPr>
      <w:t xml:space="preserve">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1872A4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</w:t>
    </w:r>
    <w:r w:rsidR="00A02580">
      <w:rPr>
        <w:b/>
        <w:sz w:val="40"/>
        <w:szCs w:val="40"/>
      </w:rPr>
      <w:t>6</w:t>
    </w:r>
    <w:r w:rsidR="00D12FFF">
      <w:rPr>
        <w:b/>
        <w:sz w:val="40"/>
        <w:szCs w:val="40"/>
      </w:rPr>
      <w:t>3</w:t>
    </w:r>
    <w:r w:rsidR="00730CC7">
      <w:rPr>
        <w:b/>
        <w:sz w:val="40"/>
        <w:szCs w:val="40"/>
      </w:rPr>
      <w:t xml:space="preserve"> 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Pr="005D1DE4" w:rsidRDefault="0027684A">
    <w:pPr>
      <w:pStyle w:val="Cabealho"/>
      <w:jc w:val="right"/>
    </w:pPr>
    <w:r>
      <w:rPr>
        <w:i/>
        <w:iCs/>
      </w:rPr>
      <w:t xml:space="preserve">Período: </w:t>
    </w:r>
    <w:r w:rsidR="00FA1DCF">
      <w:rPr>
        <w:i/>
        <w:iCs/>
      </w:rPr>
      <w:t>2</w:t>
    </w:r>
    <w:r w:rsidR="00D12FFF">
      <w:rPr>
        <w:i/>
        <w:iCs/>
      </w:rPr>
      <w:t>2</w:t>
    </w:r>
    <w:r w:rsidR="00DC30DD">
      <w:rPr>
        <w:i/>
        <w:iCs/>
      </w:rPr>
      <w:t xml:space="preserve"> de </w:t>
    </w:r>
    <w:r w:rsidR="00FA1DCF">
      <w:rPr>
        <w:i/>
        <w:iCs/>
      </w:rPr>
      <w:t>agosto</w:t>
    </w:r>
    <w:r w:rsidR="00D12FFF">
      <w:rPr>
        <w:i/>
        <w:iCs/>
      </w:rPr>
      <w:t xml:space="preserve"> a 11 de setembro</w:t>
    </w:r>
    <w:r w:rsidR="00DC30DD">
      <w:rPr>
        <w:i/>
        <w:iCs/>
      </w:rPr>
      <w:t xml:space="preserve"> de 2017</w:t>
    </w:r>
  </w:p>
  <w:p w:rsidR="0027684A" w:rsidRDefault="0027684A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3142"/>
    <w:rsid w:val="001648F5"/>
    <w:rsid w:val="00167E80"/>
    <w:rsid w:val="00176D15"/>
    <w:rsid w:val="0018296E"/>
    <w:rsid w:val="00183803"/>
    <w:rsid w:val="00184590"/>
    <w:rsid w:val="001872A4"/>
    <w:rsid w:val="00187A37"/>
    <w:rsid w:val="00187BEF"/>
    <w:rsid w:val="0019151D"/>
    <w:rsid w:val="001920CD"/>
    <w:rsid w:val="00193208"/>
    <w:rsid w:val="001932B7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168D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5064"/>
    <w:rsid w:val="002A219D"/>
    <w:rsid w:val="002A521A"/>
    <w:rsid w:val="002A546D"/>
    <w:rsid w:val="002B0750"/>
    <w:rsid w:val="002B4738"/>
    <w:rsid w:val="002B6377"/>
    <w:rsid w:val="002C2904"/>
    <w:rsid w:val="002E78CB"/>
    <w:rsid w:val="002F28E5"/>
    <w:rsid w:val="002F71BF"/>
    <w:rsid w:val="003070C9"/>
    <w:rsid w:val="003074FC"/>
    <w:rsid w:val="0031207D"/>
    <w:rsid w:val="003200A0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0506F"/>
    <w:rsid w:val="004163E7"/>
    <w:rsid w:val="004166C3"/>
    <w:rsid w:val="00416D9A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672FC"/>
    <w:rsid w:val="00470EF8"/>
    <w:rsid w:val="004731B7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30B90"/>
    <w:rsid w:val="00543B94"/>
    <w:rsid w:val="005460BD"/>
    <w:rsid w:val="005521C8"/>
    <w:rsid w:val="00553197"/>
    <w:rsid w:val="0055409E"/>
    <w:rsid w:val="00554139"/>
    <w:rsid w:val="00556367"/>
    <w:rsid w:val="00556B35"/>
    <w:rsid w:val="005703D6"/>
    <w:rsid w:val="00573E13"/>
    <w:rsid w:val="005811A4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6002E3"/>
    <w:rsid w:val="00602FF7"/>
    <w:rsid w:val="006145AC"/>
    <w:rsid w:val="00615F98"/>
    <w:rsid w:val="006207F5"/>
    <w:rsid w:val="00621F9C"/>
    <w:rsid w:val="00631166"/>
    <w:rsid w:val="00631F1C"/>
    <w:rsid w:val="00636289"/>
    <w:rsid w:val="006366A4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91234"/>
    <w:rsid w:val="00692202"/>
    <w:rsid w:val="006931CC"/>
    <w:rsid w:val="006947F2"/>
    <w:rsid w:val="00696523"/>
    <w:rsid w:val="00697919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E1A9C"/>
    <w:rsid w:val="006E3B5C"/>
    <w:rsid w:val="006E5D21"/>
    <w:rsid w:val="006F6C15"/>
    <w:rsid w:val="00700B1B"/>
    <w:rsid w:val="007023BC"/>
    <w:rsid w:val="007029CF"/>
    <w:rsid w:val="0070727E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614F1"/>
    <w:rsid w:val="007618C5"/>
    <w:rsid w:val="00764066"/>
    <w:rsid w:val="00766B7B"/>
    <w:rsid w:val="0077600F"/>
    <w:rsid w:val="00776118"/>
    <w:rsid w:val="00781C77"/>
    <w:rsid w:val="00796745"/>
    <w:rsid w:val="007A28FF"/>
    <w:rsid w:val="007A4F78"/>
    <w:rsid w:val="007A7125"/>
    <w:rsid w:val="007B0F83"/>
    <w:rsid w:val="007C0A4F"/>
    <w:rsid w:val="007D29A1"/>
    <w:rsid w:val="007D2B4E"/>
    <w:rsid w:val="007D2EE9"/>
    <w:rsid w:val="007D469A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4797B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42D0"/>
    <w:rsid w:val="00884AC4"/>
    <w:rsid w:val="0088579D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BAD"/>
    <w:rsid w:val="009A32D5"/>
    <w:rsid w:val="009A5D37"/>
    <w:rsid w:val="009A610E"/>
    <w:rsid w:val="009A6BD9"/>
    <w:rsid w:val="009B320F"/>
    <w:rsid w:val="009B6012"/>
    <w:rsid w:val="009C0EBA"/>
    <w:rsid w:val="009C102D"/>
    <w:rsid w:val="009C2A4F"/>
    <w:rsid w:val="009D10FB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7889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E0"/>
    <w:rsid w:val="00AB04BD"/>
    <w:rsid w:val="00AB299E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6218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C028BC"/>
    <w:rsid w:val="00C070DE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0DD"/>
    <w:rsid w:val="00DC3451"/>
    <w:rsid w:val="00DC50EB"/>
    <w:rsid w:val="00DC7F71"/>
    <w:rsid w:val="00DD19F4"/>
    <w:rsid w:val="00DD3FA0"/>
    <w:rsid w:val="00DE5B2D"/>
    <w:rsid w:val="00DE5C3E"/>
    <w:rsid w:val="00DE5CE9"/>
    <w:rsid w:val="00DF45BB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74F6"/>
    <w:rsid w:val="00E9503C"/>
    <w:rsid w:val="00E956D9"/>
    <w:rsid w:val="00EA10DA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511EE"/>
    <w:rsid w:val="00F55574"/>
    <w:rsid w:val="00F558E7"/>
    <w:rsid w:val="00F60363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298300&amp;digitoTst=34&amp;anoTst=&amp;orgaoTst=5&amp;tribunalTst=&amp;varaTst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737000&amp;digitoTst=44&amp;anoTst=2004&amp;orgaoTst=5&amp;tribunalTst=09&amp;varaTst=001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122500&amp;digitoTst=12&amp;anoTst=2008&amp;orgaoTst=5&amp;tribunalTst=15&amp;varaTst=001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plicacao4.tst.jus.br/consultaProcessual/resumoForm.do?consulta=1&amp;numeroInt=171805&amp;anoInt=2015&amp;qtdAcesso=1985937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33100&amp;digitoTst=87&amp;anoTst=2006&amp;orgaoTst=5&amp;tribunalTst=02&amp;varaTst=0087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F5AD-05D3-4701-B4FB-AD73CD03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6872</CharactersWithSpaces>
  <SharedDoc>false</SharedDoc>
  <HLinks>
    <vt:vector size="30" baseType="variant">
      <vt:variant>
        <vt:i4>2621564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http://aplicacao4.tst.jus.br/consultaProcessual/consultaTstNumUnica.do?consulta=Consultar&amp;conscsjt=&amp;numeroTst=298300&amp;digitoTst=34&amp;anoTst=&amp;orgaoTst=5&amp;tribunalTst=&amp;varaTst=</vt:lpwstr>
      </vt:variant>
      <vt:variant>
        <vt:lpwstr/>
      </vt:variant>
      <vt:variant>
        <vt:i4>1441866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http://aplicacao4.tst.jus.br/consultaProcessual/consultaTstNumUnica.do?consulta=Consultar&amp;conscsjt=&amp;numeroTst=737000&amp;digitoTst=44&amp;anoTst=2004&amp;orgaoTst=5&amp;tribunalTst=09&amp;varaTst=0012</vt:lpwstr>
      </vt:variant>
      <vt:variant>
        <vt:lpwstr/>
      </vt:variant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http://aplicacao4.tst.jus.br/consultaProcessual/consultaTstNumUnica.do?consulta=Consultar&amp;conscsjt=&amp;numeroTst=122500&amp;digitoTst=12&amp;anoTst=2008&amp;orgaoTst=5&amp;tribunalTst=15&amp;varaTst=0013</vt:lpwstr>
      </vt:variant>
      <vt:variant>
        <vt:lpwstr/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http://aplicacao4.tst.jus.br/consultaProcessual/resumoForm.do?consulta=1&amp;numeroInt=171805&amp;anoInt=2015&amp;qtdAcesso=19859377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http://aplicacao4.tst.jus.br/consultaProcessual/consultaTstNumUnica.do?consulta=Consultar&amp;conscsjt=&amp;numeroTst=33100&amp;digitoTst=87&amp;anoTst=2006&amp;orgaoTst=5&amp;tribunalTst=02&amp;varaTst=0087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C050728</cp:lastModifiedBy>
  <cp:revision>2</cp:revision>
  <cp:lastPrinted>2017-03-06T19:28:00Z</cp:lastPrinted>
  <dcterms:created xsi:type="dcterms:W3CDTF">2017-09-14T15:34:00Z</dcterms:created>
  <dcterms:modified xsi:type="dcterms:W3CDTF">2017-09-14T15:34:00Z</dcterms:modified>
</cp:coreProperties>
</file>