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CE7555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bookmarkStart w:id="0" w:name="_GoBack"/>
            <w:bookmarkEnd w:id="0"/>
            <w:r w:rsidRPr="00CE7555">
              <w:t>Este Informativo, elaborado a partir de notas tomadas nas sessões de julgamentos, contém resumos não</w:t>
            </w:r>
            <w:r w:rsidR="00DC50EB" w:rsidRPr="00CE7555">
              <w:t xml:space="preserve"> </w:t>
            </w:r>
            <w:r w:rsidRPr="00CE7555"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CE7555">
              <w:t xml:space="preserve"> Eletrônico </w:t>
            </w:r>
            <w:r w:rsidRPr="00CE7555">
              <w:t>da Justiça</w:t>
            </w:r>
            <w:r w:rsidR="00980944" w:rsidRPr="00CE7555">
              <w:t xml:space="preserve"> do Trabalho</w:t>
            </w:r>
            <w:r w:rsidRPr="00CE7555">
              <w:t>.</w:t>
            </w:r>
          </w:p>
          <w:p w:rsidR="00B55AB4" w:rsidRPr="00E531C9" w:rsidRDefault="00B55AB4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9D10FB" w:rsidRPr="00CE7555" w:rsidRDefault="009D10FB" w:rsidP="009D10FB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>SUBSEÇÃO I ESPECIALIZADA EM DISSÍDIOS INDIVIDUAIS</w:t>
      </w:r>
    </w:p>
    <w:p w:rsidR="00063834" w:rsidRPr="00063834" w:rsidRDefault="00063834" w:rsidP="009D10FB">
      <w:pPr>
        <w:pStyle w:val="Identificao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val="pt-BR" w:eastAsia="en-US"/>
        </w:rPr>
      </w:pPr>
    </w:p>
    <w:p w:rsidR="00063834" w:rsidRDefault="00063834" w:rsidP="00063834">
      <w:pPr>
        <w:jc w:val="both"/>
        <w:rPr>
          <w:b/>
          <w:i/>
          <w:sz w:val="24"/>
          <w:szCs w:val="24"/>
        </w:rPr>
      </w:pPr>
      <w:r w:rsidRPr="00AF43E4">
        <w:rPr>
          <w:b/>
          <w:i/>
          <w:sz w:val="24"/>
          <w:szCs w:val="24"/>
        </w:rPr>
        <w:t>Adicional de periculosidade.</w:t>
      </w:r>
      <w:r>
        <w:rPr>
          <w:b/>
          <w:i/>
          <w:sz w:val="24"/>
          <w:szCs w:val="24"/>
        </w:rPr>
        <w:t xml:space="preserve"> </w:t>
      </w:r>
      <w:r w:rsidRPr="00AF43E4">
        <w:rPr>
          <w:b/>
          <w:i/>
          <w:sz w:val="24"/>
          <w:szCs w:val="24"/>
        </w:rPr>
        <w:t>Armazenamento de inflamáveis</w:t>
      </w:r>
      <w:r>
        <w:rPr>
          <w:b/>
          <w:i/>
          <w:sz w:val="24"/>
          <w:szCs w:val="24"/>
        </w:rPr>
        <w:t>.</w:t>
      </w:r>
      <w:r w:rsidRPr="00AF43E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 w:rsidRPr="00AF43E4">
        <w:rPr>
          <w:b/>
          <w:i/>
          <w:sz w:val="24"/>
          <w:szCs w:val="24"/>
        </w:rPr>
        <w:t>rabalho</w:t>
      </w:r>
      <w:r>
        <w:rPr>
          <w:b/>
          <w:i/>
          <w:sz w:val="24"/>
          <w:szCs w:val="24"/>
        </w:rPr>
        <w:t xml:space="preserve"> em recinto fechado.</w:t>
      </w:r>
      <w:r w:rsidRPr="00AF43E4">
        <w:rPr>
          <w:b/>
          <w:i/>
          <w:sz w:val="24"/>
          <w:szCs w:val="24"/>
        </w:rPr>
        <w:t xml:space="preserve"> </w:t>
      </w:r>
      <w:r w:rsidRPr="00AF43E4">
        <w:t xml:space="preserve"> </w:t>
      </w:r>
      <w:r>
        <w:rPr>
          <w:b/>
          <w:i/>
          <w:sz w:val="24"/>
          <w:szCs w:val="24"/>
        </w:rPr>
        <w:t>R</w:t>
      </w:r>
      <w:r w:rsidRPr="00D816BD">
        <w:rPr>
          <w:b/>
          <w:i/>
          <w:sz w:val="24"/>
          <w:szCs w:val="24"/>
        </w:rPr>
        <w:t xml:space="preserve">elação direta com </w:t>
      </w:r>
      <w:r>
        <w:rPr>
          <w:b/>
          <w:i/>
          <w:sz w:val="24"/>
          <w:szCs w:val="24"/>
        </w:rPr>
        <w:t>o</w:t>
      </w:r>
      <w:r w:rsidRPr="00D816B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volume do líquido</w:t>
      </w:r>
      <w:r w:rsidRPr="00D816BD">
        <w:rPr>
          <w:b/>
          <w:i/>
          <w:sz w:val="24"/>
          <w:szCs w:val="24"/>
        </w:rPr>
        <w:t xml:space="preserve"> e com o tipo de embalagem em que acondicionado o agente de risco</w:t>
      </w:r>
      <w:r w:rsidRPr="00AF43E4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D816BD">
        <w:rPr>
          <w:b/>
          <w:i/>
          <w:sz w:val="24"/>
          <w:szCs w:val="24"/>
        </w:rPr>
        <w:t>Anexo 2, item 4, Quadro I</w:t>
      </w:r>
      <w:r>
        <w:rPr>
          <w:b/>
          <w:i/>
          <w:sz w:val="24"/>
          <w:szCs w:val="24"/>
        </w:rPr>
        <w:t>, da NR-16 da Portaria nº 3.214/78 do Ministério do Trabalho.</w:t>
      </w:r>
    </w:p>
    <w:p w:rsidR="00063834" w:rsidRPr="00A742B7" w:rsidRDefault="00063834" w:rsidP="00063834">
      <w:pPr>
        <w:jc w:val="both"/>
        <w:rPr>
          <w:sz w:val="24"/>
          <w:szCs w:val="24"/>
        </w:rPr>
      </w:pPr>
      <w:r w:rsidRPr="00A742B7">
        <w:rPr>
          <w:sz w:val="24"/>
          <w:szCs w:val="24"/>
        </w:rPr>
        <w:t xml:space="preserve">Nos termos </w:t>
      </w:r>
      <w:r>
        <w:rPr>
          <w:sz w:val="24"/>
          <w:szCs w:val="24"/>
        </w:rPr>
        <w:t xml:space="preserve">do </w:t>
      </w:r>
      <w:r w:rsidRPr="00A742B7">
        <w:rPr>
          <w:sz w:val="24"/>
          <w:szCs w:val="24"/>
        </w:rPr>
        <w:t xml:space="preserve">Anexo 2, item 4, </w:t>
      </w:r>
      <w:r>
        <w:rPr>
          <w:sz w:val="24"/>
          <w:szCs w:val="24"/>
        </w:rPr>
        <w:t>Q</w:t>
      </w:r>
      <w:r w:rsidRPr="00A742B7">
        <w:rPr>
          <w:sz w:val="24"/>
          <w:szCs w:val="24"/>
        </w:rPr>
        <w:t>uadro I</w:t>
      </w:r>
      <w:r>
        <w:rPr>
          <w:sz w:val="24"/>
          <w:szCs w:val="24"/>
        </w:rPr>
        <w:t>,</w:t>
      </w:r>
      <w:r w:rsidRPr="00A742B7">
        <w:rPr>
          <w:sz w:val="24"/>
          <w:szCs w:val="24"/>
        </w:rPr>
        <w:t xml:space="preserve"> da NR-16</w:t>
      </w:r>
      <w:r>
        <w:rPr>
          <w:sz w:val="24"/>
          <w:szCs w:val="24"/>
        </w:rPr>
        <w:t xml:space="preserve"> </w:t>
      </w:r>
      <w:r w:rsidRPr="00AF43E4">
        <w:rPr>
          <w:sz w:val="24"/>
          <w:szCs w:val="24"/>
        </w:rPr>
        <w:t>da Portaria nº 3.214/78 do Ministério do Trabalho</w:t>
      </w:r>
      <w:r>
        <w:rPr>
          <w:sz w:val="24"/>
          <w:szCs w:val="24"/>
        </w:rPr>
        <w:t xml:space="preserve">, </w:t>
      </w:r>
      <w:r w:rsidRPr="00A742B7">
        <w:rPr>
          <w:sz w:val="24"/>
          <w:szCs w:val="24"/>
        </w:rPr>
        <w:t>não gera direito ao adicional de periculosidade o labor prestado em recinto fechado em que há armazenamento de líquido inflamável acondicionado em tambores ou bombonas de aço, alumínio, outros metais ou plástico, com capacidade entre 60 e até 250 litros.</w:t>
      </w:r>
      <w:r>
        <w:rPr>
          <w:sz w:val="24"/>
          <w:szCs w:val="24"/>
        </w:rPr>
        <w:t xml:space="preserve"> Conclui-se, portanto, que a concessão d</w:t>
      </w:r>
      <w:r w:rsidRPr="00A742B7">
        <w:rPr>
          <w:sz w:val="24"/>
          <w:szCs w:val="24"/>
        </w:rPr>
        <w:t xml:space="preserve">o adicional de periculosidade guarda relação direta com </w:t>
      </w:r>
      <w:r w:rsidRPr="00D816BD">
        <w:rPr>
          <w:sz w:val="24"/>
          <w:szCs w:val="24"/>
        </w:rPr>
        <w:t xml:space="preserve">o volume do líquido </w:t>
      </w:r>
      <w:r w:rsidRPr="00A742B7">
        <w:rPr>
          <w:sz w:val="24"/>
          <w:szCs w:val="24"/>
        </w:rPr>
        <w:t>e com o tipo de embalagem em que acondicionado o agente de risco</w:t>
      </w:r>
      <w:r>
        <w:rPr>
          <w:sz w:val="24"/>
          <w:szCs w:val="24"/>
        </w:rPr>
        <w:t xml:space="preserve">. Sob esses fundamentos, e tendo em conta que, na espécie, a reclamante, professora de física, executa parte de suas atividades em </w:t>
      </w:r>
      <w:r w:rsidRPr="00AF43E4">
        <w:rPr>
          <w:sz w:val="24"/>
          <w:szCs w:val="24"/>
        </w:rPr>
        <w:t>laboratório em que h</w:t>
      </w:r>
      <w:r>
        <w:rPr>
          <w:sz w:val="24"/>
          <w:szCs w:val="24"/>
        </w:rPr>
        <w:t>á</w:t>
      </w:r>
      <w:r w:rsidRPr="00AF43E4">
        <w:rPr>
          <w:sz w:val="24"/>
          <w:szCs w:val="24"/>
        </w:rPr>
        <w:t xml:space="preserve"> pequena quantidade de líquidos inflamáveis armazenados</w:t>
      </w:r>
      <w:r>
        <w:rPr>
          <w:sz w:val="24"/>
          <w:szCs w:val="24"/>
        </w:rPr>
        <w:t xml:space="preserve"> (27 litros), a SBDI-I, </w:t>
      </w:r>
      <w:r w:rsidRPr="00A742B7">
        <w:rPr>
          <w:sz w:val="24"/>
          <w:szCs w:val="24"/>
        </w:rPr>
        <w:t>por unanimidade, conhece</w:t>
      </w:r>
      <w:r>
        <w:rPr>
          <w:sz w:val="24"/>
          <w:szCs w:val="24"/>
        </w:rPr>
        <w:t>u</w:t>
      </w:r>
      <w:r w:rsidRPr="00A742B7">
        <w:rPr>
          <w:sz w:val="24"/>
          <w:szCs w:val="24"/>
        </w:rPr>
        <w:t xml:space="preserve"> dos embargos, por divergência jurisprudencia</w:t>
      </w:r>
      <w:r>
        <w:rPr>
          <w:sz w:val="24"/>
          <w:szCs w:val="24"/>
        </w:rPr>
        <w:t>l, e, no mérito, por maioria, deu</w:t>
      </w:r>
      <w:r w:rsidRPr="00A742B7">
        <w:rPr>
          <w:sz w:val="24"/>
          <w:szCs w:val="24"/>
        </w:rPr>
        <w:t xml:space="preserve">-lhes provimento para restabelecer o acórdão </w:t>
      </w:r>
      <w:r>
        <w:rPr>
          <w:sz w:val="24"/>
          <w:szCs w:val="24"/>
        </w:rPr>
        <w:t>do R</w:t>
      </w:r>
      <w:r w:rsidRPr="00A742B7">
        <w:rPr>
          <w:sz w:val="24"/>
          <w:szCs w:val="24"/>
        </w:rPr>
        <w:t>egional no tocante à declaração de improcedência do pedido relativo ao pagamento</w:t>
      </w:r>
      <w:r>
        <w:rPr>
          <w:sz w:val="24"/>
          <w:szCs w:val="24"/>
        </w:rPr>
        <w:t xml:space="preserve"> de adicional de periculosidade. V</w:t>
      </w:r>
      <w:r w:rsidRPr="00A742B7">
        <w:rPr>
          <w:sz w:val="24"/>
          <w:szCs w:val="24"/>
        </w:rPr>
        <w:t>encidos os Ministros Cláudio Mascarenhas Brandão, José Roberto Freire Pimenta e Alexandre Agra Belmonte.</w:t>
      </w:r>
      <w:r>
        <w:rPr>
          <w:sz w:val="24"/>
          <w:szCs w:val="24"/>
        </w:rPr>
        <w:t xml:space="preserve"> </w:t>
      </w:r>
      <w:hyperlink r:id="rId8" w:history="1">
        <w:r w:rsidRPr="00B06914">
          <w:rPr>
            <w:rStyle w:val="Hyperlink"/>
            <w:sz w:val="24"/>
            <w:szCs w:val="24"/>
          </w:rPr>
          <w:t>TST-E-RR-970-73.2010.5.04.0014</w:t>
        </w:r>
      </w:hyperlink>
      <w:r w:rsidRPr="007D253C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SBDI-I</w:t>
      </w:r>
      <w:r w:rsidRPr="007D253C">
        <w:rPr>
          <w:sz w:val="24"/>
          <w:szCs w:val="24"/>
          <w:u w:val="single"/>
        </w:rPr>
        <w:t xml:space="preserve">, rel. Min. </w:t>
      </w:r>
      <w:r w:rsidRPr="009C15FE">
        <w:rPr>
          <w:sz w:val="24"/>
          <w:szCs w:val="24"/>
          <w:u w:val="single"/>
        </w:rPr>
        <w:t>João Oreste Dalazen</w:t>
      </w:r>
      <w:r w:rsidRPr="007D253C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16.2</w:t>
      </w:r>
      <w:r w:rsidRPr="00A742B7">
        <w:rPr>
          <w:sz w:val="24"/>
          <w:szCs w:val="24"/>
          <w:u w:val="single"/>
        </w:rPr>
        <w:t>.2017</w:t>
      </w:r>
      <w:r w:rsidRPr="00A742B7">
        <w:rPr>
          <w:sz w:val="24"/>
          <w:szCs w:val="24"/>
        </w:rPr>
        <w:t xml:space="preserve"> </w:t>
      </w:r>
      <w:r w:rsidRPr="003731B9">
        <w:rPr>
          <w:szCs w:val="24"/>
        </w:rPr>
        <w:t xml:space="preserve">(*No mesmo sentido, </w:t>
      </w:r>
      <w:hyperlink r:id="rId9" w:history="1">
        <w:r w:rsidR="00B06914" w:rsidRPr="00B06914">
          <w:rPr>
            <w:rStyle w:val="Hyperlink"/>
            <w:szCs w:val="24"/>
          </w:rPr>
          <w:t>TST-</w:t>
        </w:r>
        <w:r w:rsidRPr="00B06914">
          <w:rPr>
            <w:rStyle w:val="Hyperlink"/>
            <w:szCs w:val="24"/>
          </w:rPr>
          <w:t>E-RR-125200-41.2007.5.02.0050</w:t>
        </w:r>
      </w:hyperlink>
      <w:r w:rsidRPr="003731B9">
        <w:rPr>
          <w:szCs w:val="24"/>
        </w:rPr>
        <w:t>, SBDI-I, rel. Min. Cláudio Mascarenhas Brandão, red. p/ acórdão Min. Aloysio Corrêa da Veiga, 16.2.2017)</w:t>
      </w:r>
    </w:p>
    <w:p w:rsidR="00063834" w:rsidRPr="00063834" w:rsidRDefault="00063834" w:rsidP="009D10FB">
      <w:pPr>
        <w:pStyle w:val="Identificao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val="pt-BR" w:eastAsia="en-US"/>
        </w:rPr>
      </w:pPr>
    </w:p>
    <w:p w:rsidR="00063834" w:rsidRPr="00063834" w:rsidRDefault="00063834" w:rsidP="00063834">
      <w:pPr>
        <w:pStyle w:val="Identificao"/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</w:pPr>
      <w:r w:rsidRPr="00063834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Representação processual. Juntada de substabelecimento horas depois da interposição do recurso. Regularidade de representação. Aplicação da Lei nº 11.419/2006. </w:t>
      </w:r>
    </w:p>
    <w:p w:rsidR="00063834" w:rsidRPr="00063834" w:rsidRDefault="00063834" w:rsidP="00063834">
      <w:pPr>
        <w:pStyle w:val="Identificao"/>
        <w:rPr>
          <w:rFonts w:ascii="Times New Roman" w:eastAsia="Calibri" w:hAnsi="Times New Roman" w:cs="Times New Roman"/>
          <w:color w:val="auto"/>
          <w:lang w:val="pt-BR" w:eastAsia="en-US"/>
        </w:rPr>
      </w:pPr>
      <w:r w:rsidRPr="00063834">
        <w:rPr>
          <w:rFonts w:ascii="Times New Roman" w:eastAsia="Calibri" w:hAnsi="Times New Roman" w:cs="Times New Roman"/>
          <w:color w:val="auto"/>
          <w:lang w:val="pt-BR" w:eastAsia="en-US"/>
        </w:rPr>
        <w:t xml:space="preserve">Nos termos do art. 3º, parágrafo único, da Lei nº 11.419/2006, são tempestivas as petições transmitidas até às 24 horas do último dia do prazo. Assim, na hipótese em que a reclamada interpôs agravo de instrumento por meio físico, às 15:55h e, no mesmo dia, às 20:39h, juntou, via e-DOC, substabelecimento conferindo poderes ao subscritor do referido recurso, reputa-se regular a representação processual. Sob esses fundamentos, a SBDI-I, por unanimidade, conheceu dos embargos, por divergência jurisprudencial, e, no mérito, por maioria, deu-lhes provimento. Vencidos os Ministros Brito Pereira, relator, e José Roberto Freire Pimenta. </w:t>
      </w:r>
      <w:hyperlink r:id="rId10" w:history="1">
        <w:r w:rsidRPr="00B06914">
          <w:rPr>
            <w:rStyle w:val="Hyperlink"/>
            <w:rFonts w:ascii="Times New Roman" w:eastAsia="Calibri" w:hAnsi="Times New Roman"/>
            <w:lang w:val="pt-BR" w:eastAsia="en-US"/>
          </w:rPr>
          <w:t>TST-E-ED-AIRR-22300-37.2006.5.15.0087</w:t>
        </w:r>
      </w:hyperlink>
      <w:r w:rsidRPr="00063834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, SBDI-I, rel. Min. Brito Pereira, red. p/ acórdão Min. João Oreste Dalazen, 16.2.2017</w:t>
      </w:r>
    </w:p>
    <w:p w:rsidR="00063834" w:rsidRPr="00063834" w:rsidRDefault="00063834" w:rsidP="009D10FB">
      <w:pPr>
        <w:pStyle w:val="Identificao"/>
        <w:rPr>
          <w:rFonts w:ascii="Times New Roman" w:eastAsia="Calibri" w:hAnsi="Times New Roman" w:cs="Times New Roman"/>
          <w:color w:val="auto"/>
          <w:sz w:val="20"/>
          <w:szCs w:val="20"/>
          <w:lang w:val="pt-BR" w:eastAsia="en-US"/>
        </w:rPr>
      </w:pPr>
    </w:p>
    <w:p w:rsidR="00063834" w:rsidRDefault="00063834" w:rsidP="00063834">
      <w:pPr>
        <w:ind w:right="-71"/>
        <w:jc w:val="both"/>
        <w:rPr>
          <w:b/>
          <w:i/>
          <w:sz w:val="24"/>
          <w:szCs w:val="24"/>
        </w:rPr>
      </w:pPr>
      <w:r w:rsidRPr="002A049B">
        <w:rPr>
          <w:b/>
          <w:bCs/>
          <w:i/>
          <w:sz w:val="24"/>
          <w:szCs w:val="24"/>
        </w:rPr>
        <w:t>Horas extras. Motorista</w:t>
      </w:r>
      <w:r>
        <w:rPr>
          <w:b/>
          <w:bCs/>
          <w:i/>
          <w:sz w:val="24"/>
          <w:szCs w:val="24"/>
        </w:rPr>
        <w:t>. Rastreamento de</w:t>
      </w:r>
      <w:r w:rsidRPr="002A049B">
        <w:rPr>
          <w:b/>
          <w:bCs/>
          <w:i/>
          <w:sz w:val="24"/>
          <w:szCs w:val="24"/>
        </w:rPr>
        <w:t xml:space="preserve"> veículo por satélite. Controle </w:t>
      </w:r>
      <w:r>
        <w:rPr>
          <w:b/>
          <w:bCs/>
          <w:i/>
          <w:sz w:val="24"/>
          <w:szCs w:val="24"/>
        </w:rPr>
        <w:t>indireto da jornada de trabalho.</w:t>
      </w:r>
      <w:r w:rsidRPr="00CA347A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Inaplicabilidade do art. 62, I, da CLT.</w:t>
      </w:r>
    </w:p>
    <w:p w:rsidR="00063834" w:rsidRDefault="00063834" w:rsidP="0006383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 adoção, pelo empregador, de recursos tecnológicos de rastreamento de veículo por satélite, para garantir a segurança ininterrupta da carga transportada, possibilita o controle indireto da jornada desempenhada pelo empregado motorista, razão pela qual não há falar em aplicação do art. 62, I, da CLT. O direito ao pagamento de horas extraordinárias não subsiste apenas nas hipóteses em que seja absolutamente impossível fiscalizar os horários cumpridos pelo empregado. Sob esse entendimento, a SBDI-I,</w:t>
      </w:r>
      <w:r w:rsidRPr="000F1B2E">
        <w:rPr>
          <w:sz w:val="24"/>
          <w:szCs w:val="24"/>
        </w:rPr>
        <w:t xml:space="preserve"> </w:t>
      </w:r>
      <w:r>
        <w:rPr>
          <w:sz w:val="24"/>
          <w:szCs w:val="24"/>
        </w:rPr>
        <w:t>por unanimidade, conheceu</w:t>
      </w:r>
      <w:r w:rsidRPr="00814327">
        <w:rPr>
          <w:sz w:val="24"/>
          <w:szCs w:val="24"/>
        </w:rPr>
        <w:t xml:space="preserve"> do recurso de embargos, por divergência jurisprudencial, </w:t>
      </w:r>
      <w:r>
        <w:rPr>
          <w:sz w:val="24"/>
          <w:szCs w:val="24"/>
        </w:rPr>
        <w:t>e, no mérito, por maioria, negou</w:t>
      </w:r>
      <w:r w:rsidRPr="00814327">
        <w:rPr>
          <w:sz w:val="24"/>
          <w:szCs w:val="24"/>
        </w:rPr>
        <w:t>-lhe provimento</w:t>
      </w:r>
      <w:r>
        <w:rPr>
          <w:sz w:val="24"/>
          <w:szCs w:val="24"/>
        </w:rPr>
        <w:t>. V</w:t>
      </w:r>
      <w:r w:rsidRPr="00814327">
        <w:rPr>
          <w:sz w:val="24"/>
          <w:szCs w:val="24"/>
        </w:rPr>
        <w:t xml:space="preserve">encidos os Ministros Walmir </w:t>
      </w:r>
      <w:r w:rsidRPr="00814327">
        <w:rPr>
          <w:sz w:val="24"/>
          <w:szCs w:val="24"/>
        </w:rPr>
        <w:lastRenderedPageBreak/>
        <w:t>Oliveira da Costa, Ives Gandra Martins Filho, Guilherme Augusto Caputo Bastos e Márcio Eurico Vitral Amar</w:t>
      </w:r>
      <w:r>
        <w:rPr>
          <w:sz w:val="24"/>
          <w:szCs w:val="24"/>
        </w:rPr>
        <w:t>o</w:t>
      </w:r>
      <w:r w:rsidRPr="000F1B2E">
        <w:rPr>
          <w:sz w:val="24"/>
          <w:szCs w:val="24"/>
        </w:rPr>
        <w:t xml:space="preserve"> </w:t>
      </w:r>
      <w:hyperlink r:id="rId11" w:history="1">
        <w:r w:rsidRPr="00B06914">
          <w:rPr>
            <w:rStyle w:val="Hyperlink"/>
            <w:sz w:val="24"/>
            <w:szCs w:val="24"/>
          </w:rPr>
          <w:t>TST-E-RR-45900-29.2011.5.17.0161</w:t>
        </w:r>
      </w:hyperlink>
      <w:r w:rsidRPr="000F1B2E">
        <w:rPr>
          <w:sz w:val="24"/>
          <w:szCs w:val="24"/>
          <w:u w:val="single"/>
        </w:rPr>
        <w:t xml:space="preserve">, SBDI-I, rel. Min. </w:t>
      </w:r>
      <w:r>
        <w:rPr>
          <w:sz w:val="24"/>
          <w:szCs w:val="24"/>
          <w:u w:val="single"/>
        </w:rPr>
        <w:t xml:space="preserve">Claúdio </w:t>
      </w:r>
      <w:r w:rsidR="00B06914">
        <w:rPr>
          <w:sz w:val="24"/>
          <w:szCs w:val="24"/>
          <w:u w:val="single"/>
        </w:rPr>
        <w:t xml:space="preserve">Mascarenhas </w:t>
      </w:r>
      <w:r>
        <w:rPr>
          <w:sz w:val="24"/>
          <w:szCs w:val="24"/>
          <w:u w:val="single"/>
        </w:rPr>
        <w:t>Brandão</w:t>
      </w:r>
      <w:r w:rsidRPr="000F1B2E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23</w:t>
      </w:r>
      <w:r w:rsidRPr="000F1B2E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2</w:t>
      </w:r>
      <w:r w:rsidRPr="000F1B2E">
        <w:rPr>
          <w:sz w:val="24"/>
          <w:szCs w:val="24"/>
          <w:u w:val="single"/>
        </w:rPr>
        <w:t>.201</w:t>
      </w:r>
      <w:r>
        <w:rPr>
          <w:sz w:val="24"/>
          <w:szCs w:val="24"/>
          <w:u w:val="single"/>
        </w:rPr>
        <w:t>7</w:t>
      </w:r>
    </w:p>
    <w:p w:rsidR="009D10FB" w:rsidRDefault="009D10FB" w:rsidP="009D10FB">
      <w:pPr>
        <w:jc w:val="both"/>
        <w:rPr>
          <w:u w:val="single"/>
        </w:rPr>
      </w:pPr>
    </w:p>
    <w:p w:rsidR="00063834" w:rsidRPr="00CE7555" w:rsidRDefault="00063834" w:rsidP="00063834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>SUBSEÇÃO II ESPECIALIZADA EM DISSÍDIOS INDIVIDUAIS</w:t>
      </w:r>
    </w:p>
    <w:p w:rsidR="00052550" w:rsidRDefault="00052550" w:rsidP="009D10FB">
      <w:pPr>
        <w:jc w:val="both"/>
        <w:rPr>
          <w:u w:val="single"/>
        </w:rPr>
      </w:pPr>
    </w:p>
    <w:p w:rsidR="00063834" w:rsidRDefault="00063834" w:rsidP="00063834">
      <w:pPr>
        <w:jc w:val="both"/>
        <w:rPr>
          <w:b/>
          <w:i/>
          <w:sz w:val="24"/>
          <w:szCs w:val="24"/>
        </w:rPr>
      </w:pPr>
      <w:r w:rsidRPr="009422A7">
        <w:rPr>
          <w:b/>
          <w:i/>
          <w:sz w:val="24"/>
          <w:szCs w:val="24"/>
        </w:rPr>
        <w:t xml:space="preserve">Prescrição quinquenal. </w:t>
      </w:r>
      <w:r w:rsidRPr="00271FF7">
        <w:rPr>
          <w:b/>
          <w:i/>
          <w:sz w:val="24"/>
          <w:szCs w:val="24"/>
        </w:rPr>
        <w:t xml:space="preserve">Art. 7º, XXIX, da CF. </w:t>
      </w:r>
      <w:r w:rsidRPr="009422A7">
        <w:rPr>
          <w:b/>
          <w:i/>
          <w:sz w:val="24"/>
          <w:szCs w:val="24"/>
        </w:rPr>
        <w:t xml:space="preserve">Aplicabilidade imediata. Desnecessidade de regulamentação do art. 7º, I, da CF. </w:t>
      </w:r>
    </w:p>
    <w:p w:rsidR="00063834" w:rsidRDefault="00063834" w:rsidP="000638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art. 7º, XXIX, da Constituição Federal é norma de aplicação imediata, razão pela qual não prospera a tese de que a prescrição quinquenal nele prevista é inaplicável enquanto não regulamentada a estabilidade no emprego de que trata o art. 7º, I, da CF. Sob esse entendimento, a SBDI-II, por unanimidade, conheceu do recurso ordinário e, no mérito, negou-lhe </w:t>
      </w:r>
      <w:r w:rsidRPr="00AE508B">
        <w:rPr>
          <w:sz w:val="24"/>
          <w:szCs w:val="24"/>
        </w:rPr>
        <w:t>provimento</w:t>
      </w:r>
      <w:r>
        <w:rPr>
          <w:sz w:val="24"/>
          <w:szCs w:val="24"/>
        </w:rPr>
        <w:t xml:space="preserve">, mantendo, portanto, a decisão que julgara procedente a pretensão de corte rescisório dirigida à sentença em que se deixou de declarar a prescrição quinquenal ao fundamento de que, enquanto não assegurada a plena eficácia do sistema de garantia contra a despedida arbitrária, a vigência do contrato de emprego constitui óbice ao fluxo do prazo prescricional. </w:t>
      </w:r>
      <w:hyperlink r:id="rId12" w:history="1">
        <w:r w:rsidRPr="00B06914">
          <w:rPr>
            <w:rStyle w:val="Hyperlink"/>
            <w:sz w:val="24"/>
            <w:szCs w:val="24"/>
          </w:rPr>
          <w:t>TST-RO-10012-64.2013.5.12.0000</w:t>
        </w:r>
      </w:hyperlink>
      <w:r w:rsidRPr="00AE508B">
        <w:rPr>
          <w:sz w:val="24"/>
          <w:szCs w:val="24"/>
          <w:u w:val="single"/>
        </w:rPr>
        <w:t>, SBDI-</w:t>
      </w:r>
      <w:r>
        <w:rPr>
          <w:sz w:val="24"/>
          <w:szCs w:val="24"/>
          <w:u w:val="single"/>
        </w:rPr>
        <w:t>II</w:t>
      </w:r>
      <w:r w:rsidRPr="00AE508B">
        <w:rPr>
          <w:sz w:val="24"/>
          <w:szCs w:val="24"/>
          <w:u w:val="single"/>
        </w:rPr>
        <w:t xml:space="preserve">, rel. Min. </w:t>
      </w:r>
      <w:r>
        <w:rPr>
          <w:sz w:val="24"/>
          <w:szCs w:val="24"/>
          <w:u w:val="single"/>
        </w:rPr>
        <w:t>Luiz Philippe Vieira de Mello Filho, 21.</w:t>
      </w:r>
      <w:r w:rsidRPr="00AE508B">
        <w:rPr>
          <w:sz w:val="24"/>
          <w:szCs w:val="24"/>
          <w:u w:val="single"/>
        </w:rPr>
        <w:t>2.2017</w:t>
      </w:r>
    </w:p>
    <w:p w:rsidR="0027684A" w:rsidRDefault="0027684A" w:rsidP="0027684A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lang w:val="pt-BR" w:eastAsia="en-US"/>
        </w:rPr>
      </w:pPr>
    </w:p>
    <w:p w:rsidR="0040506F" w:rsidRDefault="0040506F" w:rsidP="006D0B48">
      <w:pPr>
        <w:jc w:val="both"/>
        <w:rPr>
          <w:sz w:val="24"/>
          <w:szCs w:val="24"/>
        </w:rPr>
      </w:pPr>
    </w:p>
    <w:p w:rsidR="006D0B48" w:rsidRDefault="006D0B48" w:rsidP="00C6738C">
      <w:pPr>
        <w:rPr>
          <w:sz w:val="10"/>
          <w:szCs w:val="10"/>
        </w:rPr>
      </w:pPr>
    </w:p>
    <w:p w:rsidR="006D0B48" w:rsidRPr="001D6AC9" w:rsidRDefault="006D0B48" w:rsidP="00C6738C">
      <w:pPr>
        <w:rPr>
          <w:sz w:val="10"/>
          <w:szCs w:val="10"/>
        </w:rPr>
      </w:pP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 xml:space="preserve">Informativo TST é mantido pela </w:t>
      </w: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>Coordenadoria de Jurisprudência – CJUR</w:t>
      </w:r>
    </w:p>
    <w:p w:rsidR="00184590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Informações/Sugestões/Críticas: (61)3043</w:t>
      </w:r>
      <w:r w:rsidR="00352B27" w:rsidRPr="00CE7555">
        <w:rPr>
          <w:snapToGrid w:val="0"/>
          <w:sz w:val="25"/>
          <w:szCs w:val="25"/>
        </w:rPr>
        <w:t>-</w:t>
      </w:r>
      <w:r w:rsidRPr="00CE7555">
        <w:rPr>
          <w:snapToGrid w:val="0"/>
          <w:sz w:val="25"/>
          <w:szCs w:val="25"/>
        </w:rPr>
        <w:t>4</w:t>
      </w:r>
      <w:r w:rsidR="00D72C05" w:rsidRPr="00CE7555">
        <w:rPr>
          <w:snapToGrid w:val="0"/>
          <w:sz w:val="25"/>
          <w:szCs w:val="25"/>
        </w:rPr>
        <w:t>417</w:t>
      </w:r>
    </w:p>
    <w:p w:rsidR="007614F1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cjur@tst.jus.br</w:t>
      </w:r>
    </w:p>
    <w:sectPr w:rsidR="007614F1" w:rsidRPr="00CE7555" w:rsidSect="00D11B2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FC" w:rsidRDefault="00164AFC">
      <w:r>
        <w:separator/>
      </w:r>
    </w:p>
  </w:endnote>
  <w:endnote w:type="continuationSeparator" w:id="0">
    <w:p w:rsidR="00164AFC" w:rsidRDefault="0016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167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7684A" w:rsidRDefault="0027684A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81672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FC" w:rsidRDefault="00164AFC">
      <w:r>
        <w:separator/>
      </w:r>
    </w:p>
  </w:footnote>
  <w:footnote w:type="continuationSeparator" w:id="0">
    <w:p w:rsidR="00164AFC" w:rsidRDefault="0016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Pr="00971E07" w:rsidRDefault="0027684A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>
      <w:rPr>
        <w:shadow/>
        <w:sz w:val="24"/>
        <w:szCs w:val="24"/>
      </w:rPr>
      <w:t>15</w:t>
    </w:r>
    <w:r w:rsidR="00063834">
      <w:rPr>
        <w:shadow/>
        <w:sz w:val="24"/>
        <w:szCs w:val="24"/>
      </w:rPr>
      <w:t>3</w:t>
    </w:r>
  </w:p>
  <w:p w:rsidR="0027684A" w:rsidRPr="005D1DE4" w:rsidRDefault="0027684A" w:rsidP="00CE7555">
    <w:pPr>
      <w:pStyle w:val="Cabealho"/>
      <w:jc w:val="right"/>
    </w:pPr>
    <w:r w:rsidRPr="003C0554"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Pr="003C0554">
      <w:rPr>
        <w:iCs/>
      </w:rPr>
      <w:t xml:space="preserve"> </w:t>
    </w:r>
    <w:r>
      <w:rPr>
        <w:i/>
        <w:iCs/>
      </w:rPr>
      <w:t xml:space="preserve">Período: </w:t>
    </w:r>
    <w:r w:rsidR="00063834">
      <w:rPr>
        <w:i/>
        <w:iCs/>
      </w:rPr>
      <w:t>14</w:t>
    </w:r>
    <w:r>
      <w:rPr>
        <w:i/>
        <w:iCs/>
      </w:rPr>
      <w:t xml:space="preserve"> de fevereiro</w:t>
    </w:r>
    <w:r w:rsidR="00063834">
      <w:rPr>
        <w:i/>
        <w:iCs/>
      </w:rPr>
      <w:t xml:space="preserve"> a 6 de março de</w:t>
    </w:r>
    <w:r>
      <w:rPr>
        <w:i/>
        <w:iCs/>
      </w:rPr>
      <w:t xml:space="preserve">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77.25pt">
          <v:imagedata r:id="rId1" o:title="TST LOGO"/>
        </v:shape>
      </w:pict>
    </w:r>
  </w:p>
  <w:p w:rsidR="0027684A" w:rsidRPr="002168DE" w:rsidRDefault="0027684A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 w:rsidR="00063834">
      <w:rPr>
        <w:b/>
        <w:sz w:val="40"/>
        <w:szCs w:val="40"/>
      </w:rPr>
      <w:t>153</w:t>
    </w:r>
  </w:p>
  <w:p w:rsidR="0027684A" w:rsidRPr="005D1DE4" w:rsidRDefault="0027684A">
    <w:pPr>
      <w:pStyle w:val="Cabealho"/>
      <w:jc w:val="right"/>
      <w:rPr>
        <w:i/>
        <w:iCs/>
        <w:sz w:val="10"/>
        <w:szCs w:val="10"/>
      </w:rPr>
    </w:pPr>
  </w:p>
  <w:p w:rsidR="0027684A" w:rsidRPr="005D1DE4" w:rsidRDefault="0027684A">
    <w:pPr>
      <w:pStyle w:val="Cabealho"/>
      <w:jc w:val="right"/>
    </w:pPr>
    <w:r>
      <w:rPr>
        <w:i/>
        <w:iCs/>
      </w:rPr>
      <w:t>Período: 1</w:t>
    </w:r>
    <w:r w:rsidR="00063834">
      <w:rPr>
        <w:i/>
        <w:iCs/>
      </w:rPr>
      <w:t>4</w:t>
    </w:r>
    <w:r>
      <w:rPr>
        <w:i/>
        <w:iCs/>
      </w:rPr>
      <w:t xml:space="preserve"> de fevereiro</w:t>
    </w:r>
    <w:r w:rsidR="00063834">
      <w:rPr>
        <w:i/>
        <w:iCs/>
      </w:rPr>
      <w:t xml:space="preserve"> a 6 de março</w:t>
    </w:r>
    <w:r>
      <w:rPr>
        <w:i/>
        <w:iCs/>
      </w:rPr>
      <w:t xml:space="preserve"> de 2017</w:t>
    </w:r>
  </w:p>
  <w:p w:rsidR="0027684A" w:rsidRDefault="0027684A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1967"/>
    <w:rsid w:val="000228E6"/>
    <w:rsid w:val="000249BA"/>
    <w:rsid w:val="00024CE9"/>
    <w:rsid w:val="00032056"/>
    <w:rsid w:val="000322FB"/>
    <w:rsid w:val="000332F1"/>
    <w:rsid w:val="00034034"/>
    <w:rsid w:val="000425FC"/>
    <w:rsid w:val="00050E85"/>
    <w:rsid w:val="0005125E"/>
    <w:rsid w:val="00052550"/>
    <w:rsid w:val="00055A9D"/>
    <w:rsid w:val="00056752"/>
    <w:rsid w:val="0005765E"/>
    <w:rsid w:val="00057B87"/>
    <w:rsid w:val="0006020E"/>
    <w:rsid w:val="00063834"/>
    <w:rsid w:val="00064486"/>
    <w:rsid w:val="00065048"/>
    <w:rsid w:val="000733B4"/>
    <w:rsid w:val="00073643"/>
    <w:rsid w:val="00073880"/>
    <w:rsid w:val="00075BDB"/>
    <w:rsid w:val="00076E4F"/>
    <w:rsid w:val="00077EAD"/>
    <w:rsid w:val="00080C40"/>
    <w:rsid w:val="00080F10"/>
    <w:rsid w:val="000858FB"/>
    <w:rsid w:val="0009237D"/>
    <w:rsid w:val="00093AE9"/>
    <w:rsid w:val="00093BA8"/>
    <w:rsid w:val="00095471"/>
    <w:rsid w:val="000A04E6"/>
    <w:rsid w:val="000A4C94"/>
    <w:rsid w:val="000B2973"/>
    <w:rsid w:val="000B4D41"/>
    <w:rsid w:val="000B67DF"/>
    <w:rsid w:val="000B7CDE"/>
    <w:rsid w:val="000C3022"/>
    <w:rsid w:val="000C38FA"/>
    <w:rsid w:val="000C58F4"/>
    <w:rsid w:val="000C5AC6"/>
    <w:rsid w:val="000C672B"/>
    <w:rsid w:val="000C6790"/>
    <w:rsid w:val="000E0A91"/>
    <w:rsid w:val="000E1DC1"/>
    <w:rsid w:val="000E5C57"/>
    <w:rsid w:val="000E7CBE"/>
    <w:rsid w:val="000F01F9"/>
    <w:rsid w:val="0011575C"/>
    <w:rsid w:val="0011692E"/>
    <w:rsid w:val="00122C2A"/>
    <w:rsid w:val="001257D7"/>
    <w:rsid w:val="00137564"/>
    <w:rsid w:val="00137DC1"/>
    <w:rsid w:val="00141630"/>
    <w:rsid w:val="00142C28"/>
    <w:rsid w:val="00152238"/>
    <w:rsid w:val="0015612D"/>
    <w:rsid w:val="00161CDE"/>
    <w:rsid w:val="00163142"/>
    <w:rsid w:val="001648F5"/>
    <w:rsid w:val="00164AFC"/>
    <w:rsid w:val="00167E80"/>
    <w:rsid w:val="00176D15"/>
    <w:rsid w:val="0018296E"/>
    <w:rsid w:val="00183803"/>
    <w:rsid w:val="00184590"/>
    <w:rsid w:val="00187A37"/>
    <w:rsid w:val="00187BEF"/>
    <w:rsid w:val="0019151D"/>
    <w:rsid w:val="001920CD"/>
    <w:rsid w:val="00193208"/>
    <w:rsid w:val="001932B7"/>
    <w:rsid w:val="00197B15"/>
    <w:rsid w:val="001B2C08"/>
    <w:rsid w:val="001C04D2"/>
    <w:rsid w:val="001C21FB"/>
    <w:rsid w:val="001C271F"/>
    <w:rsid w:val="001C5885"/>
    <w:rsid w:val="001C6C93"/>
    <w:rsid w:val="001D4CF9"/>
    <w:rsid w:val="001D4E17"/>
    <w:rsid w:val="001D5AB0"/>
    <w:rsid w:val="001D6AC9"/>
    <w:rsid w:val="001D757D"/>
    <w:rsid w:val="001E14A9"/>
    <w:rsid w:val="001E14BB"/>
    <w:rsid w:val="001E3B29"/>
    <w:rsid w:val="001E4B57"/>
    <w:rsid w:val="001E5BD1"/>
    <w:rsid w:val="001E713B"/>
    <w:rsid w:val="001E79B4"/>
    <w:rsid w:val="001F030F"/>
    <w:rsid w:val="001F2F34"/>
    <w:rsid w:val="001F45E0"/>
    <w:rsid w:val="00204C97"/>
    <w:rsid w:val="00206810"/>
    <w:rsid w:val="002168DE"/>
    <w:rsid w:val="00224AC2"/>
    <w:rsid w:val="00230183"/>
    <w:rsid w:val="0023559D"/>
    <w:rsid w:val="002402B0"/>
    <w:rsid w:val="002449F9"/>
    <w:rsid w:val="00255732"/>
    <w:rsid w:val="00257B4A"/>
    <w:rsid w:val="00260B37"/>
    <w:rsid w:val="002635ED"/>
    <w:rsid w:val="002662BA"/>
    <w:rsid w:val="00266D49"/>
    <w:rsid w:val="00271C5C"/>
    <w:rsid w:val="00271E67"/>
    <w:rsid w:val="002730B5"/>
    <w:rsid w:val="002766D5"/>
    <w:rsid w:val="0027684A"/>
    <w:rsid w:val="00276EA0"/>
    <w:rsid w:val="00280594"/>
    <w:rsid w:val="00285064"/>
    <w:rsid w:val="002A219D"/>
    <w:rsid w:val="002A521A"/>
    <w:rsid w:val="002A546D"/>
    <w:rsid w:val="002B0750"/>
    <w:rsid w:val="002B4738"/>
    <w:rsid w:val="002B6377"/>
    <w:rsid w:val="002C2904"/>
    <w:rsid w:val="002E78CB"/>
    <w:rsid w:val="002F28E5"/>
    <w:rsid w:val="002F71BF"/>
    <w:rsid w:val="003074FC"/>
    <w:rsid w:val="0031207D"/>
    <w:rsid w:val="0033397A"/>
    <w:rsid w:val="00340D16"/>
    <w:rsid w:val="00340E8D"/>
    <w:rsid w:val="00342846"/>
    <w:rsid w:val="003503FC"/>
    <w:rsid w:val="00352B27"/>
    <w:rsid w:val="0035374D"/>
    <w:rsid w:val="00363255"/>
    <w:rsid w:val="0036325E"/>
    <w:rsid w:val="003671FE"/>
    <w:rsid w:val="003708FD"/>
    <w:rsid w:val="003726D1"/>
    <w:rsid w:val="003745DE"/>
    <w:rsid w:val="0037667D"/>
    <w:rsid w:val="00377D5F"/>
    <w:rsid w:val="00380212"/>
    <w:rsid w:val="00383A89"/>
    <w:rsid w:val="00384075"/>
    <w:rsid w:val="003908C5"/>
    <w:rsid w:val="00393131"/>
    <w:rsid w:val="0039326C"/>
    <w:rsid w:val="00396053"/>
    <w:rsid w:val="003A1F0A"/>
    <w:rsid w:val="003A4086"/>
    <w:rsid w:val="003A5E5B"/>
    <w:rsid w:val="003B045C"/>
    <w:rsid w:val="003B0538"/>
    <w:rsid w:val="003B0A59"/>
    <w:rsid w:val="003B3EB5"/>
    <w:rsid w:val="003B4E23"/>
    <w:rsid w:val="003B767E"/>
    <w:rsid w:val="003C01E8"/>
    <w:rsid w:val="003C0554"/>
    <w:rsid w:val="003C1AB7"/>
    <w:rsid w:val="003C6FE7"/>
    <w:rsid w:val="003D032E"/>
    <w:rsid w:val="003D4205"/>
    <w:rsid w:val="003E1C53"/>
    <w:rsid w:val="003F2078"/>
    <w:rsid w:val="004034A8"/>
    <w:rsid w:val="0040506F"/>
    <w:rsid w:val="004163E7"/>
    <w:rsid w:val="004166C3"/>
    <w:rsid w:val="00416D9A"/>
    <w:rsid w:val="00423641"/>
    <w:rsid w:val="0042772A"/>
    <w:rsid w:val="004323B0"/>
    <w:rsid w:val="00437995"/>
    <w:rsid w:val="0044014F"/>
    <w:rsid w:val="00444E88"/>
    <w:rsid w:val="004477EC"/>
    <w:rsid w:val="00450BAD"/>
    <w:rsid w:val="0045657C"/>
    <w:rsid w:val="00457A40"/>
    <w:rsid w:val="004655CC"/>
    <w:rsid w:val="00466DB9"/>
    <w:rsid w:val="00470EF8"/>
    <w:rsid w:val="004731B7"/>
    <w:rsid w:val="00486521"/>
    <w:rsid w:val="00486DFC"/>
    <w:rsid w:val="004922D6"/>
    <w:rsid w:val="00494DD1"/>
    <w:rsid w:val="004A094C"/>
    <w:rsid w:val="004A1432"/>
    <w:rsid w:val="004A14FC"/>
    <w:rsid w:val="004A5264"/>
    <w:rsid w:val="004A5908"/>
    <w:rsid w:val="004A7C59"/>
    <w:rsid w:val="004B21AD"/>
    <w:rsid w:val="004B63FB"/>
    <w:rsid w:val="004C011C"/>
    <w:rsid w:val="004C14EA"/>
    <w:rsid w:val="004C2118"/>
    <w:rsid w:val="004C2612"/>
    <w:rsid w:val="004C749C"/>
    <w:rsid w:val="004C759F"/>
    <w:rsid w:val="004D6000"/>
    <w:rsid w:val="004D6415"/>
    <w:rsid w:val="004D71E8"/>
    <w:rsid w:val="004E393E"/>
    <w:rsid w:val="004E4507"/>
    <w:rsid w:val="004E4619"/>
    <w:rsid w:val="004F0A7D"/>
    <w:rsid w:val="004F5040"/>
    <w:rsid w:val="00513789"/>
    <w:rsid w:val="0051538E"/>
    <w:rsid w:val="00517E01"/>
    <w:rsid w:val="00521EEC"/>
    <w:rsid w:val="00543B94"/>
    <w:rsid w:val="005460BD"/>
    <w:rsid w:val="005521C8"/>
    <w:rsid w:val="00553197"/>
    <w:rsid w:val="0055409E"/>
    <w:rsid w:val="00554139"/>
    <w:rsid w:val="00556367"/>
    <w:rsid w:val="00556B35"/>
    <w:rsid w:val="005703D6"/>
    <w:rsid w:val="00573E13"/>
    <w:rsid w:val="005811A4"/>
    <w:rsid w:val="00584F82"/>
    <w:rsid w:val="00591DFA"/>
    <w:rsid w:val="005A30AA"/>
    <w:rsid w:val="005A5695"/>
    <w:rsid w:val="005B0A1C"/>
    <w:rsid w:val="005B22CE"/>
    <w:rsid w:val="005B2F00"/>
    <w:rsid w:val="005B3792"/>
    <w:rsid w:val="005B57DE"/>
    <w:rsid w:val="005C1886"/>
    <w:rsid w:val="005C761E"/>
    <w:rsid w:val="005D0E5F"/>
    <w:rsid w:val="005D1DE4"/>
    <w:rsid w:val="005E35BD"/>
    <w:rsid w:val="005E3D4D"/>
    <w:rsid w:val="005E3F64"/>
    <w:rsid w:val="005E7FD1"/>
    <w:rsid w:val="005F0545"/>
    <w:rsid w:val="005F2858"/>
    <w:rsid w:val="006002E3"/>
    <w:rsid w:val="00602FF7"/>
    <w:rsid w:val="006145AC"/>
    <w:rsid w:val="00615F98"/>
    <w:rsid w:val="006207F5"/>
    <w:rsid w:val="00621F9C"/>
    <w:rsid w:val="00631166"/>
    <w:rsid w:val="00631F1C"/>
    <w:rsid w:val="006366A4"/>
    <w:rsid w:val="00643B60"/>
    <w:rsid w:val="006456B1"/>
    <w:rsid w:val="006564EC"/>
    <w:rsid w:val="0066084C"/>
    <w:rsid w:val="00661B23"/>
    <w:rsid w:val="00672CF9"/>
    <w:rsid w:val="00672E11"/>
    <w:rsid w:val="0068273B"/>
    <w:rsid w:val="00691234"/>
    <w:rsid w:val="00692202"/>
    <w:rsid w:val="006931CC"/>
    <w:rsid w:val="006947F2"/>
    <w:rsid w:val="00697919"/>
    <w:rsid w:val="006B3FCF"/>
    <w:rsid w:val="006B46CA"/>
    <w:rsid w:val="006C0391"/>
    <w:rsid w:val="006C28B3"/>
    <w:rsid w:val="006D0B48"/>
    <w:rsid w:val="006D1F66"/>
    <w:rsid w:val="006D306E"/>
    <w:rsid w:val="006D4497"/>
    <w:rsid w:val="006E1A9C"/>
    <w:rsid w:val="006F6C15"/>
    <w:rsid w:val="00700B1B"/>
    <w:rsid w:val="007029CF"/>
    <w:rsid w:val="0070727E"/>
    <w:rsid w:val="00710D3A"/>
    <w:rsid w:val="0071315F"/>
    <w:rsid w:val="00720057"/>
    <w:rsid w:val="00721942"/>
    <w:rsid w:val="00722BE7"/>
    <w:rsid w:val="00732DF2"/>
    <w:rsid w:val="007403B3"/>
    <w:rsid w:val="007614F1"/>
    <w:rsid w:val="007618C5"/>
    <w:rsid w:val="00764066"/>
    <w:rsid w:val="00766B7B"/>
    <w:rsid w:val="0077600F"/>
    <w:rsid w:val="00776118"/>
    <w:rsid w:val="00781C77"/>
    <w:rsid w:val="00796745"/>
    <w:rsid w:val="007A4F78"/>
    <w:rsid w:val="007B0F83"/>
    <w:rsid w:val="007C0A4F"/>
    <w:rsid w:val="007D29A1"/>
    <w:rsid w:val="007D2EE9"/>
    <w:rsid w:val="007D469A"/>
    <w:rsid w:val="007D6F8C"/>
    <w:rsid w:val="007E094E"/>
    <w:rsid w:val="007E0EA7"/>
    <w:rsid w:val="007E37B1"/>
    <w:rsid w:val="007E3F23"/>
    <w:rsid w:val="007F142E"/>
    <w:rsid w:val="007F66BC"/>
    <w:rsid w:val="007F7B5E"/>
    <w:rsid w:val="00800B97"/>
    <w:rsid w:val="00801246"/>
    <w:rsid w:val="00802B1A"/>
    <w:rsid w:val="00805CD2"/>
    <w:rsid w:val="0080615C"/>
    <w:rsid w:val="0081027F"/>
    <w:rsid w:val="0081742D"/>
    <w:rsid w:val="00817AB1"/>
    <w:rsid w:val="00821F4D"/>
    <w:rsid w:val="00823906"/>
    <w:rsid w:val="008409D3"/>
    <w:rsid w:val="0084319F"/>
    <w:rsid w:val="00844374"/>
    <w:rsid w:val="00845559"/>
    <w:rsid w:val="0084797B"/>
    <w:rsid w:val="00854DB8"/>
    <w:rsid w:val="00854EF2"/>
    <w:rsid w:val="00855623"/>
    <w:rsid w:val="00855D99"/>
    <w:rsid w:val="0086211B"/>
    <w:rsid w:val="008622CF"/>
    <w:rsid w:val="008627C6"/>
    <w:rsid w:val="00863B86"/>
    <w:rsid w:val="008652A2"/>
    <w:rsid w:val="008706CD"/>
    <w:rsid w:val="00871F69"/>
    <w:rsid w:val="008842D0"/>
    <w:rsid w:val="00884AC4"/>
    <w:rsid w:val="0088579D"/>
    <w:rsid w:val="008A1A58"/>
    <w:rsid w:val="008A49DF"/>
    <w:rsid w:val="008A4AFF"/>
    <w:rsid w:val="008A5FA7"/>
    <w:rsid w:val="008A68E7"/>
    <w:rsid w:val="008A7953"/>
    <w:rsid w:val="008B1828"/>
    <w:rsid w:val="008B3081"/>
    <w:rsid w:val="008B32D4"/>
    <w:rsid w:val="008C7AD0"/>
    <w:rsid w:val="008D0020"/>
    <w:rsid w:val="008D3C38"/>
    <w:rsid w:val="008D3C4B"/>
    <w:rsid w:val="008D6A05"/>
    <w:rsid w:val="008E2AE5"/>
    <w:rsid w:val="008E3CCE"/>
    <w:rsid w:val="008E3F89"/>
    <w:rsid w:val="008F26CB"/>
    <w:rsid w:val="008F36EC"/>
    <w:rsid w:val="008F3D95"/>
    <w:rsid w:val="008F6509"/>
    <w:rsid w:val="008F79D9"/>
    <w:rsid w:val="009027C8"/>
    <w:rsid w:val="00922D1B"/>
    <w:rsid w:val="0093467A"/>
    <w:rsid w:val="009353F1"/>
    <w:rsid w:val="0094155C"/>
    <w:rsid w:val="00951531"/>
    <w:rsid w:val="00953B29"/>
    <w:rsid w:val="00960A3B"/>
    <w:rsid w:val="0096375C"/>
    <w:rsid w:val="00967DE0"/>
    <w:rsid w:val="00971E07"/>
    <w:rsid w:val="00971E5F"/>
    <w:rsid w:val="00971F6D"/>
    <w:rsid w:val="009802D2"/>
    <w:rsid w:val="00980944"/>
    <w:rsid w:val="00986D77"/>
    <w:rsid w:val="00993A6E"/>
    <w:rsid w:val="009943EC"/>
    <w:rsid w:val="009A1BAD"/>
    <w:rsid w:val="009A32D5"/>
    <w:rsid w:val="009A5D37"/>
    <w:rsid w:val="009A6BD9"/>
    <w:rsid w:val="009B320F"/>
    <w:rsid w:val="009B6012"/>
    <w:rsid w:val="009C102D"/>
    <w:rsid w:val="009C2A4F"/>
    <w:rsid w:val="009D10FB"/>
    <w:rsid w:val="009D312C"/>
    <w:rsid w:val="009D4C59"/>
    <w:rsid w:val="009D7F91"/>
    <w:rsid w:val="009E20EF"/>
    <w:rsid w:val="009E26EE"/>
    <w:rsid w:val="009F1C7B"/>
    <w:rsid w:val="009F21A2"/>
    <w:rsid w:val="00A00D70"/>
    <w:rsid w:val="00A00DEE"/>
    <w:rsid w:val="00A27889"/>
    <w:rsid w:val="00A32FBF"/>
    <w:rsid w:val="00A407EA"/>
    <w:rsid w:val="00A51749"/>
    <w:rsid w:val="00A521B6"/>
    <w:rsid w:val="00A56962"/>
    <w:rsid w:val="00A6382F"/>
    <w:rsid w:val="00A6412C"/>
    <w:rsid w:val="00A75419"/>
    <w:rsid w:val="00A76661"/>
    <w:rsid w:val="00A76D2A"/>
    <w:rsid w:val="00A81F5B"/>
    <w:rsid w:val="00A82081"/>
    <w:rsid w:val="00A8557E"/>
    <w:rsid w:val="00A903E4"/>
    <w:rsid w:val="00A91181"/>
    <w:rsid w:val="00A935AC"/>
    <w:rsid w:val="00AA3DE0"/>
    <w:rsid w:val="00AA76CC"/>
    <w:rsid w:val="00AB299E"/>
    <w:rsid w:val="00AB507C"/>
    <w:rsid w:val="00AB606E"/>
    <w:rsid w:val="00AC096E"/>
    <w:rsid w:val="00AC4F6C"/>
    <w:rsid w:val="00AD6E76"/>
    <w:rsid w:val="00AE3EAA"/>
    <w:rsid w:val="00AE5EDF"/>
    <w:rsid w:val="00AE758A"/>
    <w:rsid w:val="00B06261"/>
    <w:rsid w:val="00B06914"/>
    <w:rsid w:val="00B108BA"/>
    <w:rsid w:val="00B108E6"/>
    <w:rsid w:val="00B12273"/>
    <w:rsid w:val="00B14F7F"/>
    <w:rsid w:val="00B16EB9"/>
    <w:rsid w:val="00B22F24"/>
    <w:rsid w:val="00B22F53"/>
    <w:rsid w:val="00B24DBE"/>
    <w:rsid w:val="00B335D5"/>
    <w:rsid w:val="00B34EB2"/>
    <w:rsid w:val="00B4728A"/>
    <w:rsid w:val="00B517C3"/>
    <w:rsid w:val="00B518B2"/>
    <w:rsid w:val="00B526EA"/>
    <w:rsid w:val="00B5311A"/>
    <w:rsid w:val="00B536FE"/>
    <w:rsid w:val="00B55AB4"/>
    <w:rsid w:val="00B60670"/>
    <w:rsid w:val="00B73FFA"/>
    <w:rsid w:val="00B74A6E"/>
    <w:rsid w:val="00B82CC4"/>
    <w:rsid w:val="00B838C3"/>
    <w:rsid w:val="00B874F1"/>
    <w:rsid w:val="00BC1DE7"/>
    <w:rsid w:val="00BC209E"/>
    <w:rsid w:val="00BC2C67"/>
    <w:rsid w:val="00BC54BC"/>
    <w:rsid w:val="00BC5AEE"/>
    <w:rsid w:val="00BD2A95"/>
    <w:rsid w:val="00BD2CA9"/>
    <w:rsid w:val="00BD6029"/>
    <w:rsid w:val="00BD75B0"/>
    <w:rsid w:val="00BE0541"/>
    <w:rsid w:val="00BE1ADB"/>
    <w:rsid w:val="00BE3152"/>
    <w:rsid w:val="00BF0693"/>
    <w:rsid w:val="00C028BC"/>
    <w:rsid w:val="00C070DE"/>
    <w:rsid w:val="00C15EC0"/>
    <w:rsid w:val="00C230F3"/>
    <w:rsid w:val="00C232C2"/>
    <w:rsid w:val="00C239E0"/>
    <w:rsid w:val="00C26DFB"/>
    <w:rsid w:val="00C273FA"/>
    <w:rsid w:val="00C30D06"/>
    <w:rsid w:val="00C37916"/>
    <w:rsid w:val="00C42067"/>
    <w:rsid w:val="00C432D0"/>
    <w:rsid w:val="00C4398E"/>
    <w:rsid w:val="00C44218"/>
    <w:rsid w:val="00C51600"/>
    <w:rsid w:val="00C54185"/>
    <w:rsid w:val="00C57E92"/>
    <w:rsid w:val="00C60B4A"/>
    <w:rsid w:val="00C65BDB"/>
    <w:rsid w:val="00C66C95"/>
    <w:rsid w:val="00C6738C"/>
    <w:rsid w:val="00C71A3B"/>
    <w:rsid w:val="00C757CC"/>
    <w:rsid w:val="00C76CFA"/>
    <w:rsid w:val="00C819C8"/>
    <w:rsid w:val="00C8747B"/>
    <w:rsid w:val="00C87D5B"/>
    <w:rsid w:val="00C94FF6"/>
    <w:rsid w:val="00C963F8"/>
    <w:rsid w:val="00C96BB1"/>
    <w:rsid w:val="00CA2F80"/>
    <w:rsid w:val="00CA3ECF"/>
    <w:rsid w:val="00CB0C2A"/>
    <w:rsid w:val="00CB3B98"/>
    <w:rsid w:val="00CC4B2B"/>
    <w:rsid w:val="00CC51C4"/>
    <w:rsid w:val="00CC579C"/>
    <w:rsid w:val="00CC5F5F"/>
    <w:rsid w:val="00CC6BEC"/>
    <w:rsid w:val="00CC743B"/>
    <w:rsid w:val="00CD3460"/>
    <w:rsid w:val="00CD44C9"/>
    <w:rsid w:val="00CD4B61"/>
    <w:rsid w:val="00CD5043"/>
    <w:rsid w:val="00CD59E7"/>
    <w:rsid w:val="00CE066A"/>
    <w:rsid w:val="00CE2928"/>
    <w:rsid w:val="00CE314A"/>
    <w:rsid w:val="00CE5865"/>
    <w:rsid w:val="00CE737B"/>
    <w:rsid w:val="00CE7555"/>
    <w:rsid w:val="00CF3D9D"/>
    <w:rsid w:val="00CF6B77"/>
    <w:rsid w:val="00D00018"/>
    <w:rsid w:val="00D01C50"/>
    <w:rsid w:val="00D11B24"/>
    <w:rsid w:val="00D11C18"/>
    <w:rsid w:val="00D133C8"/>
    <w:rsid w:val="00D14DB8"/>
    <w:rsid w:val="00D17339"/>
    <w:rsid w:val="00D244D5"/>
    <w:rsid w:val="00D2776A"/>
    <w:rsid w:val="00D4021B"/>
    <w:rsid w:val="00D413DB"/>
    <w:rsid w:val="00D420E2"/>
    <w:rsid w:val="00D4459D"/>
    <w:rsid w:val="00D44B24"/>
    <w:rsid w:val="00D573F9"/>
    <w:rsid w:val="00D60532"/>
    <w:rsid w:val="00D6058B"/>
    <w:rsid w:val="00D608E5"/>
    <w:rsid w:val="00D62D9E"/>
    <w:rsid w:val="00D63EC5"/>
    <w:rsid w:val="00D64BC3"/>
    <w:rsid w:val="00D72C05"/>
    <w:rsid w:val="00D73575"/>
    <w:rsid w:val="00D735BF"/>
    <w:rsid w:val="00D737B6"/>
    <w:rsid w:val="00D77672"/>
    <w:rsid w:val="00D80222"/>
    <w:rsid w:val="00D847CF"/>
    <w:rsid w:val="00D87489"/>
    <w:rsid w:val="00DA015E"/>
    <w:rsid w:val="00DA0A99"/>
    <w:rsid w:val="00DA0A9D"/>
    <w:rsid w:val="00DA54D4"/>
    <w:rsid w:val="00DA7603"/>
    <w:rsid w:val="00DA7E39"/>
    <w:rsid w:val="00DA7EDE"/>
    <w:rsid w:val="00DB0223"/>
    <w:rsid w:val="00DB047C"/>
    <w:rsid w:val="00DC0AB5"/>
    <w:rsid w:val="00DC3451"/>
    <w:rsid w:val="00DC50EB"/>
    <w:rsid w:val="00DC7F71"/>
    <w:rsid w:val="00DD19F4"/>
    <w:rsid w:val="00DD3FA0"/>
    <w:rsid w:val="00DE5B2D"/>
    <w:rsid w:val="00DE5C3E"/>
    <w:rsid w:val="00DE5CE9"/>
    <w:rsid w:val="00DF45BB"/>
    <w:rsid w:val="00E006DC"/>
    <w:rsid w:val="00E03064"/>
    <w:rsid w:val="00E04BD5"/>
    <w:rsid w:val="00E070D2"/>
    <w:rsid w:val="00E100F5"/>
    <w:rsid w:val="00E1139A"/>
    <w:rsid w:val="00E126EB"/>
    <w:rsid w:val="00E1539C"/>
    <w:rsid w:val="00E162B6"/>
    <w:rsid w:val="00E16E01"/>
    <w:rsid w:val="00E20FC8"/>
    <w:rsid w:val="00E24A50"/>
    <w:rsid w:val="00E25A69"/>
    <w:rsid w:val="00E31469"/>
    <w:rsid w:val="00E3296A"/>
    <w:rsid w:val="00E35639"/>
    <w:rsid w:val="00E4188A"/>
    <w:rsid w:val="00E420AA"/>
    <w:rsid w:val="00E432CC"/>
    <w:rsid w:val="00E47FF2"/>
    <w:rsid w:val="00E50711"/>
    <w:rsid w:val="00E52522"/>
    <w:rsid w:val="00E531C9"/>
    <w:rsid w:val="00E60AD3"/>
    <w:rsid w:val="00E60EDA"/>
    <w:rsid w:val="00E62BBC"/>
    <w:rsid w:val="00E774F6"/>
    <w:rsid w:val="00E9503C"/>
    <w:rsid w:val="00E956D9"/>
    <w:rsid w:val="00EA1958"/>
    <w:rsid w:val="00EA29F5"/>
    <w:rsid w:val="00EA482D"/>
    <w:rsid w:val="00EB5FE6"/>
    <w:rsid w:val="00EB61A5"/>
    <w:rsid w:val="00EB6C1B"/>
    <w:rsid w:val="00EB7A09"/>
    <w:rsid w:val="00EC0EDC"/>
    <w:rsid w:val="00EC5AF4"/>
    <w:rsid w:val="00EC7E0B"/>
    <w:rsid w:val="00ED4508"/>
    <w:rsid w:val="00ED661C"/>
    <w:rsid w:val="00EE41B5"/>
    <w:rsid w:val="00EE66C9"/>
    <w:rsid w:val="00EF10DB"/>
    <w:rsid w:val="00EF11A9"/>
    <w:rsid w:val="00EF38E1"/>
    <w:rsid w:val="00EF749A"/>
    <w:rsid w:val="00EF771E"/>
    <w:rsid w:val="00F012E0"/>
    <w:rsid w:val="00F02565"/>
    <w:rsid w:val="00F026EC"/>
    <w:rsid w:val="00F05542"/>
    <w:rsid w:val="00F06855"/>
    <w:rsid w:val="00F17A2C"/>
    <w:rsid w:val="00F21A70"/>
    <w:rsid w:val="00F26708"/>
    <w:rsid w:val="00F30FF2"/>
    <w:rsid w:val="00F37F29"/>
    <w:rsid w:val="00F42243"/>
    <w:rsid w:val="00F45608"/>
    <w:rsid w:val="00F511EE"/>
    <w:rsid w:val="00F55574"/>
    <w:rsid w:val="00F558E7"/>
    <w:rsid w:val="00F62016"/>
    <w:rsid w:val="00F63F44"/>
    <w:rsid w:val="00F6401B"/>
    <w:rsid w:val="00F6746D"/>
    <w:rsid w:val="00F675D5"/>
    <w:rsid w:val="00F753D1"/>
    <w:rsid w:val="00F7766D"/>
    <w:rsid w:val="00F811CD"/>
    <w:rsid w:val="00F81672"/>
    <w:rsid w:val="00F82D8F"/>
    <w:rsid w:val="00F83F62"/>
    <w:rsid w:val="00F907EB"/>
    <w:rsid w:val="00F9711D"/>
    <w:rsid w:val="00FA011F"/>
    <w:rsid w:val="00FA3E3A"/>
    <w:rsid w:val="00FA7544"/>
    <w:rsid w:val="00FA75E0"/>
    <w:rsid w:val="00FA7771"/>
    <w:rsid w:val="00FB0DC9"/>
    <w:rsid w:val="00FB20B1"/>
    <w:rsid w:val="00FB3AB4"/>
    <w:rsid w:val="00FB6188"/>
    <w:rsid w:val="00FC35EC"/>
    <w:rsid w:val="00FC56A4"/>
    <w:rsid w:val="00FD029A"/>
    <w:rsid w:val="00FD3D06"/>
    <w:rsid w:val="00FD5662"/>
    <w:rsid w:val="00FD72B6"/>
    <w:rsid w:val="00FE00AD"/>
    <w:rsid w:val="00FE206E"/>
    <w:rsid w:val="00FE421F"/>
    <w:rsid w:val="00FE499F"/>
    <w:rsid w:val="00FF03DC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1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cacao4.tst.jus.br/consultaProcessual/consultaTstNumUnica.do?consulta=Consultar&amp;conscsjt=&amp;numeroTst=970&amp;digitoTst=73&amp;anoTst=2010&amp;orgaoTst=5&amp;tribunalTst=04&amp;varaTst=001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licacao4.tst.jus.br/consultaProcessual/consultaTstNumUnica.do?consulta=Consultar&amp;conscsjt=&amp;numeroTst=10012&amp;digitoTst=64&amp;anoTst=2013&amp;orgaoTst=5&amp;tribunalTst=12&amp;varaTst=0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icacao4.tst.jus.br/consultaProcessual/consultaTstNumUnica.do?consulta=Consultar&amp;conscsjt=&amp;numeroTst=45900&amp;digitoTst=29&amp;anoTst=2011&amp;orgaoTst=5&amp;tribunalTst=17&amp;varaTst=016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aplicacao4.tst.jus.br/consultaProcessual/consultaTstNumUnica.do?consulta=Consultar&amp;conscsjt=&amp;numeroTst=22300&amp;digitoTst=37&amp;anoTst=2006&amp;orgaoTst=5&amp;tribunalTst=15&amp;varaTst=00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licacao4.tst.jus.br/consultaProcessual/consultaTstNumUnica.do?consulta=Consultar&amp;conscsjt=&amp;numeroTst=125200&amp;digitoTst=41&amp;anoTst=2007&amp;orgaoTst=5&amp;tribunalTst=02&amp;varaTst=005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D481-C7E3-4DFA-BB4E-A70A1C6B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6111</CharactersWithSpaces>
  <SharedDoc>false</SharedDoc>
  <HLinks>
    <vt:vector size="30" baseType="variant">
      <vt:variant>
        <vt:i4>7012411</vt:i4>
      </vt:variant>
      <vt:variant>
        <vt:i4>12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http://aplicacao4.tst.jus.br/consultaProcessual/consultaTstNumUnica.do?consulta=Consultar&amp;conscsjt=&amp;numeroTst=10012&amp;digitoTst=64&amp;anoTst=2013&amp;orgaoTst=5&amp;tribunalTst=12&amp;varaTst=0000</vt:lpwstr>
      </vt:variant>
      <vt:variant>
        <vt:lpwstr/>
      </vt:variant>
      <vt:variant>
        <vt:i4>6488112</vt:i4>
      </vt:variant>
      <vt:variant>
        <vt:i4>9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http://aplicacao4.tst.jus.br/consultaProcessual/consultaTstNumUnica.do?consulta=Consultar&amp;conscsjt=&amp;numeroTst=45900&amp;digitoTst=29&amp;anoTst=2011&amp;orgaoTst=5&amp;tribunalTst=17&amp;varaTst=0161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http://aplicacao4.tst.jus.br/consultaProcessual/consultaTstNumUnica.do?consulta=Consultar&amp;conscsjt=&amp;numeroTst=22300&amp;digitoTst=37&amp;anoTst=2006&amp;orgaoTst=5&amp;tribunalTst=15&amp;varaTst=0087</vt:lpwstr>
      </vt:variant>
      <vt:variant>
        <vt:lpwstr/>
      </vt:variant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http://aplicacao4.tst.jus.br/consultaProcessual/consultaTstNumUnica.do?consulta=Consultar&amp;conscsjt=&amp;numeroTst=125200&amp;digitoTst=41&amp;anoTst=2007&amp;orgaoTst=5&amp;tribunalTst=02&amp;varaTst=0050</vt:lpwstr>
      </vt:variant>
      <vt:variant>
        <vt:lpwstr/>
      </vt:variant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http://aplicacao4.tst.jus.br/consultaProcessual/consultaTstNumUnica.do?consulta=Consultar&amp;conscsjt=&amp;numeroTst=970&amp;digitoTst=73&amp;anoTst=2010&amp;orgaoTst=5&amp;tribunalTst=04&amp;varaTst=0014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creator>C037163</dc:creator>
  <cp:lastModifiedBy>c041658</cp:lastModifiedBy>
  <cp:revision>2</cp:revision>
  <cp:lastPrinted>2017-03-06T19:28:00Z</cp:lastPrinted>
  <dcterms:created xsi:type="dcterms:W3CDTF">2017-08-01T19:43:00Z</dcterms:created>
  <dcterms:modified xsi:type="dcterms:W3CDTF">2017-08-01T19:43:00Z</dcterms:modified>
</cp:coreProperties>
</file>