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CE7555"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pPr>
            <w:bookmarkStart w:id="0" w:name="_GoBack"/>
            <w:bookmarkEnd w:id="0"/>
            <w:r w:rsidRPr="00CE7555">
              <w:t>Este Informativo, elaborado a partir de notas tomadas nas sessões de julgamentos, contém resumos não</w:t>
            </w:r>
            <w:r w:rsidR="00DC50EB" w:rsidRPr="00CE7555">
              <w:t xml:space="preserve"> </w:t>
            </w:r>
            <w:r w:rsidRPr="00CE7555">
              <w:t>oficiais de decisões proferidas pelo Tribunal. A fidelidade dos resumos ao conteúdo efetivo das decisões, embora seja uma das metas perseguidas neste trabalho, somente poderá ser aferida após a sua publicação no Diário</w:t>
            </w:r>
            <w:r w:rsidR="00980944" w:rsidRPr="00CE7555">
              <w:t xml:space="preserve"> Eletrônico </w:t>
            </w:r>
            <w:r w:rsidRPr="00CE7555">
              <w:t>da Justiça</w:t>
            </w:r>
            <w:r w:rsidR="00980944" w:rsidRPr="00CE7555">
              <w:t xml:space="preserve"> do Trabalho</w:t>
            </w:r>
            <w:r w:rsidRPr="00CE7555">
              <w:t>.</w:t>
            </w:r>
          </w:p>
          <w:p w:rsidR="00B55AB4" w:rsidRPr="00E531C9" w:rsidRDefault="00B55AB4" w:rsidP="00DC50EB">
            <w:pPr>
              <w:pStyle w:val="Cabealho"/>
              <w:tabs>
                <w:tab w:val="clear" w:pos="4419"/>
                <w:tab w:val="clear" w:pos="8838"/>
              </w:tabs>
              <w:jc w:val="both"/>
              <w:rPr>
                <w:sz w:val="10"/>
                <w:szCs w:val="10"/>
              </w:rPr>
            </w:pPr>
          </w:p>
        </w:tc>
      </w:tr>
    </w:tbl>
    <w:p w:rsidR="00971F6D" w:rsidRPr="00CE7555" w:rsidRDefault="00971F6D" w:rsidP="00971F6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SUBSEÇÃO I ESPECIALIZADA EM DISSÍDIOS INDIVIDUAIS</w:t>
      </w:r>
    </w:p>
    <w:p w:rsidR="00971F6D" w:rsidRPr="00DE5C3E" w:rsidRDefault="00971F6D" w:rsidP="00971F6D">
      <w:pPr>
        <w:jc w:val="both"/>
        <w:rPr>
          <w:rFonts w:eastAsia="Calibri"/>
          <w:u w:val="single"/>
        </w:rPr>
      </w:pPr>
    </w:p>
    <w:p w:rsidR="00971F6D" w:rsidRDefault="00971F6D" w:rsidP="00971F6D">
      <w:pPr>
        <w:jc w:val="both"/>
        <w:rPr>
          <w:b/>
          <w:i/>
          <w:sz w:val="24"/>
          <w:szCs w:val="24"/>
        </w:rPr>
      </w:pPr>
      <w:r>
        <w:rPr>
          <w:b/>
          <w:i/>
          <w:sz w:val="24"/>
          <w:szCs w:val="24"/>
        </w:rPr>
        <w:t>Adicional de periculosidade. Vigilante. Aplicação do art. 193, II, da CLT. Necessidade de regulamentação. Portaria nº 1885/13 do MTE.</w:t>
      </w:r>
    </w:p>
    <w:p w:rsidR="00971F6D" w:rsidRDefault="00971F6D" w:rsidP="00971F6D">
      <w:pPr>
        <w:jc w:val="both"/>
        <w:rPr>
          <w:sz w:val="24"/>
          <w:szCs w:val="24"/>
          <w:u w:val="single"/>
        </w:rPr>
      </w:pPr>
      <w:r>
        <w:rPr>
          <w:sz w:val="24"/>
          <w:szCs w:val="24"/>
        </w:rPr>
        <w:t xml:space="preserve">O art. 193, </w:t>
      </w:r>
      <w:r>
        <w:rPr>
          <w:i/>
          <w:sz w:val="24"/>
          <w:szCs w:val="24"/>
        </w:rPr>
        <w:t>caput,</w:t>
      </w:r>
      <w:r>
        <w:rPr>
          <w:sz w:val="24"/>
          <w:szCs w:val="24"/>
        </w:rPr>
        <w:t xml:space="preserve"> e inciso II, da CLT, com a redação dada pela Lei nº 12.740/12, não tem aplicação imediata, pois não obstante estabeleça que a atividade desenvolvida por profissionais de segurança pessoal ou patrimonial seja perigosa, exige regulamentação aprovada pelo Ministério do Trabalho e Emprego. Assim, conclui-se que o adicional de periculosidade é devido aos vigilantes somente a partir de 3.12.2013, data da publicação da Portaria nº 1885/13 do MTE, que aprovou o Anexo 3 da NR 16, regulamentando o art. 193, II, da CLT. Sob esse fundamento, a SBDI-I, por unanimidade, conheceu dos embargos do reclamante, e, no mérito, negou-lhes provimento. </w:t>
      </w:r>
      <w:hyperlink r:id="rId8" w:history="1">
        <w:r w:rsidRPr="00FF03DC">
          <w:rPr>
            <w:rStyle w:val="Hyperlink"/>
            <w:sz w:val="24"/>
            <w:szCs w:val="24"/>
          </w:rPr>
          <w:t>TST-E-RR-164-92.2014.5.04.0662</w:t>
        </w:r>
      </w:hyperlink>
      <w:r w:rsidRPr="00CD7793">
        <w:rPr>
          <w:sz w:val="24"/>
          <w:szCs w:val="24"/>
          <w:u w:val="single"/>
        </w:rPr>
        <w:t>, S</w:t>
      </w:r>
      <w:r>
        <w:rPr>
          <w:sz w:val="24"/>
          <w:szCs w:val="24"/>
          <w:u w:val="single"/>
        </w:rPr>
        <w:t>B</w:t>
      </w:r>
      <w:r w:rsidRPr="00CD7793">
        <w:rPr>
          <w:sz w:val="24"/>
          <w:szCs w:val="24"/>
          <w:u w:val="single"/>
        </w:rPr>
        <w:t xml:space="preserve">DI-I, rel. </w:t>
      </w:r>
      <w:r>
        <w:rPr>
          <w:sz w:val="24"/>
          <w:szCs w:val="24"/>
          <w:u w:val="single"/>
        </w:rPr>
        <w:t>Min. Guilherme Augusto Caputo Bastos, 10.11.2016</w:t>
      </w:r>
    </w:p>
    <w:p w:rsidR="00971F6D" w:rsidRPr="00971F6D" w:rsidRDefault="00971F6D" w:rsidP="00971F6D">
      <w:pPr>
        <w:jc w:val="both"/>
        <w:rPr>
          <w:u w:val="single"/>
        </w:rPr>
      </w:pPr>
    </w:p>
    <w:p w:rsidR="00971F6D" w:rsidRDefault="00971F6D" w:rsidP="00971F6D">
      <w:pPr>
        <w:jc w:val="both"/>
        <w:rPr>
          <w:b/>
          <w:i/>
          <w:sz w:val="24"/>
          <w:szCs w:val="24"/>
        </w:rPr>
      </w:pPr>
      <w:r w:rsidRPr="00091828">
        <w:rPr>
          <w:b/>
          <w:i/>
          <w:sz w:val="24"/>
          <w:szCs w:val="24"/>
        </w:rPr>
        <w:t>Adicional de insalubridade.</w:t>
      </w:r>
      <w:r>
        <w:rPr>
          <w:b/>
          <w:i/>
          <w:sz w:val="24"/>
          <w:szCs w:val="24"/>
        </w:rPr>
        <w:t xml:space="preserve"> Pagamento indevido.</w:t>
      </w:r>
      <w:r w:rsidRPr="00091828">
        <w:rPr>
          <w:b/>
          <w:i/>
          <w:sz w:val="24"/>
          <w:szCs w:val="24"/>
        </w:rPr>
        <w:t xml:space="preserve"> Uso de equipamento de proteção individual</w:t>
      </w:r>
      <w:r>
        <w:rPr>
          <w:b/>
          <w:i/>
          <w:sz w:val="24"/>
          <w:szCs w:val="24"/>
        </w:rPr>
        <w:t xml:space="preserve"> (EPI)</w:t>
      </w:r>
      <w:r w:rsidRPr="00091828">
        <w:rPr>
          <w:b/>
          <w:i/>
          <w:sz w:val="24"/>
          <w:szCs w:val="24"/>
        </w:rPr>
        <w:t xml:space="preserve">. </w:t>
      </w:r>
      <w:r>
        <w:rPr>
          <w:b/>
          <w:i/>
          <w:sz w:val="24"/>
          <w:szCs w:val="24"/>
        </w:rPr>
        <w:t>Neutralização do agente ruído</w:t>
      </w:r>
      <w:r w:rsidRPr="00091828">
        <w:rPr>
          <w:b/>
          <w:i/>
          <w:sz w:val="24"/>
          <w:szCs w:val="24"/>
        </w:rPr>
        <w:t>. Súmula nº 80</w:t>
      </w:r>
      <w:r>
        <w:rPr>
          <w:b/>
          <w:i/>
          <w:sz w:val="24"/>
          <w:szCs w:val="24"/>
        </w:rPr>
        <w:t xml:space="preserve"> do TST e art. 191, II, da CLT</w:t>
      </w:r>
      <w:r w:rsidRPr="00091828">
        <w:rPr>
          <w:b/>
          <w:i/>
          <w:sz w:val="24"/>
          <w:szCs w:val="24"/>
        </w:rPr>
        <w:t xml:space="preserve">. </w:t>
      </w:r>
    </w:p>
    <w:p w:rsidR="00971F6D" w:rsidRPr="007D253C" w:rsidRDefault="00971F6D" w:rsidP="00971F6D">
      <w:pPr>
        <w:jc w:val="both"/>
        <w:rPr>
          <w:sz w:val="24"/>
          <w:szCs w:val="24"/>
          <w:u w:val="single"/>
        </w:rPr>
      </w:pPr>
      <w:r>
        <w:rPr>
          <w:sz w:val="24"/>
          <w:szCs w:val="24"/>
        </w:rPr>
        <w:t>É indevido o pagamento do adicional de insalubridade quando</w:t>
      </w:r>
      <w:r w:rsidRPr="007F6259">
        <w:t xml:space="preserve"> </w:t>
      </w:r>
      <w:r w:rsidRPr="007F6259">
        <w:rPr>
          <w:sz w:val="24"/>
          <w:szCs w:val="24"/>
        </w:rPr>
        <w:t>a prova pericial evidenci</w:t>
      </w:r>
      <w:r>
        <w:rPr>
          <w:sz w:val="24"/>
          <w:szCs w:val="24"/>
        </w:rPr>
        <w:t>ar</w:t>
      </w:r>
      <w:r w:rsidRPr="007F6259">
        <w:rPr>
          <w:sz w:val="24"/>
          <w:szCs w:val="24"/>
        </w:rPr>
        <w:t xml:space="preserve"> que houve neutralização do agente ruído por meio do regular fornecimento e utilização de </w:t>
      </w:r>
      <w:r>
        <w:rPr>
          <w:sz w:val="24"/>
          <w:szCs w:val="24"/>
        </w:rPr>
        <w:t>equipamento de proteção individual (</w:t>
      </w:r>
      <w:r w:rsidRPr="007F6259">
        <w:rPr>
          <w:sz w:val="24"/>
          <w:szCs w:val="24"/>
        </w:rPr>
        <w:t>EPI</w:t>
      </w:r>
      <w:r>
        <w:rPr>
          <w:sz w:val="24"/>
          <w:szCs w:val="24"/>
        </w:rPr>
        <w:t>). Inteligência da Súmula nº 80 do TST e do art. 191, II, da CLT</w:t>
      </w:r>
      <w:r w:rsidRPr="007F6259">
        <w:rPr>
          <w:sz w:val="24"/>
          <w:szCs w:val="24"/>
        </w:rPr>
        <w:t>.</w:t>
      </w:r>
      <w:r>
        <w:rPr>
          <w:sz w:val="24"/>
          <w:szCs w:val="24"/>
        </w:rPr>
        <w:t xml:space="preserve"> No caso, a decisão recorrida - louvando-se da </w:t>
      </w:r>
      <w:r w:rsidRPr="007F6259">
        <w:rPr>
          <w:i/>
          <w:sz w:val="24"/>
          <w:szCs w:val="24"/>
        </w:rPr>
        <w:t>ratio decidendi</w:t>
      </w:r>
      <w:r>
        <w:rPr>
          <w:sz w:val="24"/>
          <w:szCs w:val="24"/>
        </w:rPr>
        <w:t xml:space="preserve"> emanada do ARE 664335/STF, com repercussão geral reconhecida - estabeleceu </w:t>
      </w:r>
      <w:r w:rsidRPr="007F6259">
        <w:rPr>
          <w:sz w:val="24"/>
          <w:szCs w:val="24"/>
        </w:rPr>
        <w:t>que, com relação ao ruído, os danos à saúde do trabalhador vão além da perda auditiva, razão pela qual o uso de EPI não neutraliza totalmente os malefícios causados</w:t>
      </w:r>
      <w:r>
        <w:rPr>
          <w:sz w:val="24"/>
          <w:szCs w:val="24"/>
        </w:rPr>
        <w:t>. Ocorre que o</w:t>
      </w:r>
      <w:r w:rsidRPr="004F4850">
        <w:rPr>
          <w:sz w:val="24"/>
          <w:szCs w:val="24"/>
        </w:rPr>
        <w:t xml:space="preserve"> aludido precedente</w:t>
      </w:r>
      <w:r>
        <w:rPr>
          <w:sz w:val="24"/>
          <w:szCs w:val="24"/>
        </w:rPr>
        <w:t xml:space="preserve"> não guarda relação com a hipótese em apreço, pois naquela ocasião a Suprema Corte entendeu que a mera declaração unilateral do empregador, no sentido de que há eficácia do EPI, não descaracteriza o tempo de serviço especial para aposentadoria, ao passo que, </w:t>
      </w:r>
      <w:r>
        <w:rPr>
          <w:i/>
          <w:sz w:val="24"/>
          <w:szCs w:val="24"/>
        </w:rPr>
        <w:t xml:space="preserve">in casu, </w:t>
      </w:r>
      <w:r>
        <w:rPr>
          <w:sz w:val="24"/>
          <w:szCs w:val="24"/>
        </w:rPr>
        <w:t xml:space="preserve">há um laudo pericial atestando a neutralização do agente nocivo em face do fornecimento do equipamento de proteção individual. Ademais, não obstante seja possível ao julgador valer-se de outros meios de prova para formar o seu convencimento (art. 436 do CPC de 1973), não se pode concluir pela existência de insalubridade quando não há nos autos qualquer outro elemento de prova que infirme o laudo pericial que comprovou a neutralização do agente insalubre mediante o uso do EPI. </w:t>
      </w:r>
      <w:r w:rsidRPr="007D253C">
        <w:rPr>
          <w:sz w:val="24"/>
          <w:szCs w:val="24"/>
        </w:rPr>
        <w:t xml:space="preserve">Sob esses fundamentos, </w:t>
      </w:r>
      <w:r w:rsidRPr="00041B7F">
        <w:rPr>
          <w:sz w:val="24"/>
          <w:szCs w:val="24"/>
        </w:rPr>
        <w:t xml:space="preserve">a </w:t>
      </w:r>
      <w:r>
        <w:rPr>
          <w:sz w:val="24"/>
          <w:szCs w:val="24"/>
        </w:rPr>
        <w:t>SBDI-I</w:t>
      </w:r>
      <w:r w:rsidRPr="00C72F2E">
        <w:rPr>
          <w:sz w:val="24"/>
          <w:szCs w:val="24"/>
        </w:rPr>
        <w:t xml:space="preserve"> </w:t>
      </w:r>
      <w:r>
        <w:rPr>
          <w:sz w:val="24"/>
          <w:szCs w:val="24"/>
        </w:rPr>
        <w:t>decidiu</w:t>
      </w:r>
      <w:r w:rsidRPr="00041B7F">
        <w:rPr>
          <w:sz w:val="24"/>
          <w:szCs w:val="24"/>
        </w:rPr>
        <w:t xml:space="preserve">, </w:t>
      </w:r>
      <w:r w:rsidRPr="00A57970">
        <w:rPr>
          <w:sz w:val="24"/>
          <w:szCs w:val="24"/>
        </w:rPr>
        <w:t>por unanimidade, conhecer do recurso de embargos por contrariedade à Súmula nº 80</w:t>
      </w:r>
      <w:r>
        <w:rPr>
          <w:sz w:val="24"/>
          <w:szCs w:val="24"/>
        </w:rPr>
        <w:t xml:space="preserve"> do TST,</w:t>
      </w:r>
      <w:r w:rsidRPr="00A57970">
        <w:rPr>
          <w:sz w:val="24"/>
          <w:szCs w:val="24"/>
        </w:rPr>
        <w:t xml:space="preserve"> e, no mérito, dar-lhe provimento para excluir da condenação o pagamento do adicional de insalubridade</w:t>
      </w:r>
      <w:r>
        <w:rPr>
          <w:sz w:val="24"/>
          <w:szCs w:val="24"/>
        </w:rPr>
        <w:t xml:space="preserve">, restabelecendo a sentença, no tópico. </w:t>
      </w:r>
      <w:hyperlink r:id="rId9" w:history="1">
        <w:r w:rsidRPr="00FF03DC">
          <w:rPr>
            <w:rStyle w:val="Hyperlink"/>
            <w:sz w:val="24"/>
            <w:szCs w:val="24"/>
          </w:rPr>
          <w:t>TST-E-RR-1691900-85.2009.5.09.0008</w:t>
        </w:r>
      </w:hyperlink>
      <w:r w:rsidRPr="007D253C">
        <w:rPr>
          <w:sz w:val="24"/>
          <w:szCs w:val="24"/>
          <w:u w:val="single"/>
        </w:rPr>
        <w:t xml:space="preserve">, </w:t>
      </w:r>
      <w:r>
        <w:rPr>
          <w:sz w:val="24"/>
          <w:szCs w:val="24"/>
          <w:u w:val="single"/>
        </w:rPr>
        <w:t>SBDI-I</w:t>
      </w:r>
      <w:r w:rsidRPr="007D253C">
        <w:rPr>
          <w:sz w:val="24"/>
          <w:szCs w:val="24"/>
          <w:u w:val="single"/>
        </w:rPr>
        <w:t xml:space="preserve">, rel. Min. </w:t>
      </w:r>
      <w:r w:rsidRPr="00A57970">
        <w:rPr>
          <w:sz w:val="24"/>
          <w:szCs w:val="24"/>
          <w:u w:val="single"/>
        </w:rPr>
        <w:t xml:space="preserve">Caputo </w:t>
      </w:r>
      <w:r>
        <w:rPr>
          <w:sz w:val="24"/>
          <w:szCs w:val="24"/>
          <w:u w:val="single"/>
        </w:rPr>
        <w:t>B</w:t>
      </w:r>
      <w:r w:rsidRPr="00A57970">
        <w:rPr>
          <w:sz w:val="24"/>
          <w:szCs w:val="24"/>
          <w:u w:val="single"/>
        </w:rPr>
        <w:t>astos</w:t>
      </w:r>
      <w:r w:rsidRPr="007D253C">
        <w:rPr>
          <w:sz w:val="24"/>
          <w:szCs w:val="24"/>
          <w:u w:val="single"/>
        </w:rPr>
        <w:t xml:space="preserve">, </w:t>
      </w:r>
      <w:r>
        <w:rPr>
          <w:sz w:val="24"/>
          <w:szCs w:val="24"/>
          <w:u w:val="single"/>
        </w:rPr>
        <w:t>10.11</w:t>
      </w:r>
      <w:r w:rsidRPr="007D253C">
        <w:rPr>
          <w:sz w:val="24"/>
          <w:szCs w:val="24"/>
          <w:u w:val="single"/>
        </w:rPr>
        <w:t>.201</w:t>
      </w:r>
      <w:r>
        <w:rPr>
          <w:sz w:val="24"/>
          <w:szCs w:val="24"/>
          <w:u w:val="single"/>
        </w:rPr>
        <w:t>6</w:t>
      </w:r>
    </w:p>
    <w:p w:rsidR="00971F6D" w:rsidRPr="00971F6D" w:rsidRDefault="00971F6D" w:rsidP="00971F6D">
      <w:pPr>
        <w:jc w:val="both"/>
        <w:rPr>
          <w:u w:val="single"/>
        </w:rPr>
      </w:pPr>
    </w:p>
    <w:p w:rsidR="00971F6D" w:rsidRDefault="00971F6D" w:rsidP="00971F6D">
      <w:pPr>
        <w:jc w:val="both"/>
        <w:rPr>
          <w:b/>
          <w:i/>
          <w:sz w:val="24"/>
          <w:szCs w:val="24"/>
        </w:rPr>
      </w:pPr>
      <w:r>
        <w:rPr>
          <w:b/>
          <w:i/>
          <w:sz w:val="24"/>
          <w:szCs w:val="24"/>
        </w:rPr>
        <w:t>Hospital Nossa Senhora da Conceição S.A. Garantia de Emprego. Período eleitoral. Art. 73, V, da Lei nº 9.504/92. Aplicação.</w:t>
      </w:r>
    </w:p>
    <w:p w:rsidR="00971F6D" w:rsidRPr="0009414F" w:rsidRDefault="00971F6D" w:rsidP="00971F6D">
      <w:pPr>
        <w:jc w:val="both"/>
        <w:rPr>
          <w:sz w:val="24"/>
          <w:szCs w:val="24"/>
        </w:rPr>
      </w:pPr>
      <w:r>
        <w:rPr>
          <w:sz w:val="24"/>
          <w:szCs w:val="24"/>
        </w:rPr>
        <w:t xml:space="preserve">Aplica-se ao Hospital Nossa Senhora da Conceição S.A. a vedação à dispensa de servidores públicos sem justa causa no período de três meses que antecedem as eleições até a posse dos eleitos, prevista no art. </w:t>
      </w:r>
      <w:r w:rsidRPr="00446A8E">
        <w:rPr>
          <w:sz w:val="24"/>
          <w:szCs w:val="24"/>
        </w:rPr>
        <w:t>73, V, da Lei nº 9.504/92</w:t>
      </w:r>
      <w:r>
        <w:rPr>
          <w:sz w:val="24"/>
          <w:szCs w:val="24"/>
        </w:rPr>
        <w:t xml:space="preserve">. O </w:t>
      </w:r>
      <w:r w:rsidRPr="00E42E5D">
        <w:rPr>
          <w:sz w:val="24"/>
          <w:szCs w:val="24"/>
        </w:rPr>
        <w:t>referido hospital, embora seja formalmente uma sociedade de economia mista, presta serviço público de saúde</w:t>
      </w:r>
      <w:r>
        <w:rPr>
          <w:sz w:val="24"/>
          <w:szCs w:val="24"/>
        </w:rPr>
        <w:t xml:space="preserve">, atendendo exclusivamente pelo SUS, com 99,9% de suas ações com direito a voto pertencentes à União, está vinculado à estrutura do </w:t>
      </w:r>
      <w:r>
        <w:rPr>
          <w:sz w:val="24"/>
          <w:szCs w:val="24"/>
        </w:rPr>
        <w:lastRenderedPageBreak/>
        <w:t xml:space="preserve">Ministério da Saúde e não atua em ambiente concorrencial, nem possui objetivo de distribuir lucros a seus acionistas. Sob esse fundamento, </w:t>
      </w:r>
      <w:r w:rsidRPr="00B4525E">
        <w:rPr>
          <w:sz w:val="24"/>
          <w:szCs w:val="24"/>
        </w:rPr>
        <w:t xml:space="preserve">a SBDI-I, por unanimidade, </w:t>
      </w:r>
      <w:r w:rsidRPr="00EE406E">
        <w:rPr>
          <w:sz w:val="24"/>
          <w:szCs w:val="24"/>
        </w:rPr>
        <w:t>conhece</w:t>
      </w:r>
      <w:r>
        <w:rPr>
          <w:sz w:val="24"/>
          <w:szCs w:val="24"/>
        </w:rPr>
        <w:t xml:space="preserve">u </w:t>
      </w:r>
      <w:r w:rsidRPr="00EE406E">
        <w:rPr>
          <w:sz w:val="24"/>
          <w:szCs w:val="24"/>
        </w:rPr>
        <w:t>do recurso de embargos</w:t>
      </w:r>
      <w:r>
        <w:rPr>
          <w:sz w:val="24"/>
          <w:szCs w:val="24"/>
        </w:rPr>
        <w:t>,</w:t>
      </w:r>
      <w:r w:rsidRPr="00EE406E">
        <w:rPr>
          <w:sz w:val="24"/>
          <w:szCs w:val="24"/>
        </w:rPr>
        <w:t xml:space="preserve"> por divergência jurisprudencial e, no mérito, d</w:t>
      </w:r>
      <w:r>
        <w:rPr>
          <w:sz w:val="24"/>
          <w:szCs w:val="24"/>
        </w:rPr>
        <w:t>eu</w:t>
      </w:r>
      <w:r w:rsidRPr="00EE406E">
        <w:rPr>
          <w:sz w:val="24"/>
          <w:szCs w:val="24"/>
        </w:rPr>
        <w:t>-lhe provimento para restabelecer a sentença, no aspecto em que se condenou o reclamado ao pagamento da indenização substitutiva</w:t>
      </w:r>
      <w:r>
        <w:rPr>
          <w:sz w:val="24"/>
          <w:szCs w:val="24"/>
        </w:rPr>
        <w:t xml:space="preserve"> equivalente aos salários e reflexos relativos ao período de estabilidade pré-eleitoral. </w:t>
      </w:r>
      <w:hyperlink r:id="rId10" w:history="1">
        <w:r w:rsidRPr="00FF03DC">
          <w:rPr>
            <w:rStyle w:val="Hyperlink"/>
            <w:sz w:val="24"/>
            <w:szCs w:val="24"/>
          </w:rPr>
          <w:t>TST-E-ED-RR-12396-27.2010.5.04.0000</w:t>
        </w:r>
      </w:hyperlink>
      <w:r w:rsidRPr="00B4525E">
        <w:rPr>
          <w:sz w:val="24"/>
          <w:szCs w:val="24"/>
          <w:u w:val="single"/>
        </w:rPr>
        <w:t xml:space="preserve">, SBDI-I, rel. Min. </w:t>
      </w:r>
      <w:r w:rsidRPr="001C13DD">
        <w:rPr>
          <w:sz w:val="24"/>
          <w:szCs w:val="24"/>
          <w:u w:val="single"/>
        </w:rPr>
        <w:t>José Roberto Freire Pimenta</w:t>
      </w:r>
      <w:r w:rsidRPr="00B4525E">
        <w:rPr>
          <w:sz w:val="24"/>
          <w:szCs w:val="24"/>
          <w:u w:val="single"/>
        </w:rPr>
        <w:t xml:space="preserve">, </w:t>
      </w:r>
      <w:r>
        <w:rPr>
          <w:sz w:val="24"/>
          <w:szCs w:val="24"/>
          <w:u w:val="single"/>
        </w:rPr>
        <w:t>17</w:t>
      </w:r>
      <w:r w:rsidRPr="00B4525E">
        <w:rPr>
          <w:sz w:val="24"/>
          <w:szCs w:val="24"/>
          <w:u w:val="single"/>
        </w:rPr>
        <w:t>.1</w:t>
      </w:r>
      <w:r>
        <w:rPr>
          <w:sz w:val="24"/>
          <w:szCs w:val="24"/>
          <w:u w:val="single"/>
        </w:rPr>
        <w:t>1.2016</w:t>
      </w:r>
    </w:p>
    <w:p w:rsidR="00971F6D" w:rsidRPr="00971F6D" w:rsidRDefault="00971F6D" w:rsidP="00971F6D">
      <w:pPr>
        <w:jc w:val="both"/>
        <w:rPr>
          <w:u w:val="single"/>
        </w:rPr>
      </w:pPr>
    </w:p>
    <w:p w:rsidR="00971F6D" w:rsidRPr="00075E02" w:rsidRDefault="00971F6D" w:rsidP="00971F6D">
      <w:pPr>
        <w:jc w:val="both"/>
        <w:rPr>
          <w:rFonts w:eastAsia="Calibri"/>
          <w:b/>
          <w:i/>
          <w:sz w:val="24"/>
          <w:szCs w:val="24"/>
        </w:rPr>
      </w:pPr>
      <w:r w:rsidRPr="00075E02">
        <w:rPr>
          <w:rFonts w:eastAsia="Calibri"/>
          <w:b/>
          <w:i/>
          <w:sz w:val="24"/>
          <w:szCs w:val="24"/>
        </w:rPr>
        <w:t>Cargo de confiança. Art. 62, II, da CLT. Repouso semanal remunerado e feriados. Não concessão. Pagamento em dobro. Incidência da Súmula nº 146 do TST.</w:t>
      </w:r>
    </w:p>
    <w:p w:rsidR="00971F6D" w:rsidRDefault="00971F6D" w:rsidP="00971F6D">
      <w:pPr>
        <w:jc w:val="both"/>
        <w:rPr>
          <w:rFonts w:eastAsia="Calibri"/>
          <w:sz w:val="24"/>
          <w:szCs w:val="24"/>
          <w:u w:val="single"/>
        </w:rPr>
      </w:pPr>
      <w:r w:rsidRPr="00075E02">
        <w:rPr>
          <w:rFonts w:eastAsia="Calibri"/>
          <w:sz w:val="24"/>
          <w:szCs w:val="24"/>
        </w:rPr>
        <w:t xml:space="preserve">O </w:t>
      </w:r>
      <w:r>
        <w:rPr>
          <w:rFonts w:eastAsia="Calibri"/>
          <w:sz w:val="24"/>
          <w:szCs w:val="24"/>
        </w:rPr>
        <w:t>empregado</w:t>
      </w:r>
      <w:r w:rsidRPr="00075E02">
        <w:rPr>
          <w:rFonts w:eastAsia="Calibri"/>
          <w:sz w:val="24"/>
          <w:szCs w:val="24"/>
        </w:rPr>
        <w:t xml:space="preserve"> exercente de cargo de ges</w:t>
      </w:r>
      <w:r>
        <w:rPr>
          <w:rFonts w:eastAsia="Calibri"/>
          <w:sz w:val="24"/>
          <w:szCs w:val="24"/>
        </w:rPr>
        <w:t xml:space="preserve">tão, inserido no art. 62, </w:t>
      </w:r>
      <w:r w:rsidRPr="00075E02">
        <w:rPr>
          <w:rFonts w:eastAsia="Calibri"/>
          <w:sz w:val="24"/>
          <w:szCs w:val="24"/>
        </w:rPr>
        <w:t>II, da CLT,</w:t>
      </w:r>
      <w:r>
        <w:rPr>
          <w:rFonts w:eastAsia="Calibri"/>
          <w:sz w:val="24"/>
          <w:szCs w:val="24"/>
        </w:rPr>
        <w:t xml:space="preserve"> tem direito </w:t>
      </w:r>
      <w:r w:rsidRPr="00075E02">
        <w:rPr>
          <w:rFonts w:eastAsia="Calibri"/>
          <w:sz w:val="24"/>
          <w:szCs w:val="24"/>
        </w:rPr>
        <w:t xml:space="preserve">ao gozo do repouso semanal e à folga referente aos feriados com a remuneração correspondente. </w:t>
      </w:r>
      <w:r>
        <w:rPr>
          <w:rFonts w:eastAsia="Calibri"/>
          <w:sz w:val="24"/>
          <w:szCs w:val="24"/>
        </w:rPr>
        <w:t>Assim, c</w:t>
      </w:r>
      <w:r w:rsidRPr="00075E02">
        <w:rPr>
          <w:rFonts w:eastAsia="Calibri"/>
          <w:sz w:val="24"/>
          <w:szCs w:val="24"/>
        </w:rPr>
        <w:t>aso não</w:t>
      </w:r>
      <w:r>
        <w:rPr>
          <w:rFonts w:eastAsia="Calibri"/>
          <w:sz w:val="24"/>
          <w:szCs w:val="24"/>
        </w:rPr>
        <w:t xml:space="preserve"> usufrua </w:t>
      </w:r>
      <w:r w:rsidRPr="00075E02">
        <w:rPr>
          <w:rFonts w:eastAsia="Calibri"/>
          <w:sz w:val="24"/>
          <w:szCs w:val="24"/>
        </w:rPr>
        <w:t>esse direito ou</w:t>
      </w:r>
      <w:r>
        <w:rPr>
          <w:rFonts w:eastAsia="Calibri"/>
          <w:sz w:val="24"/>
          <w:szCs w:val="24"/>
        </w:rPr>
        <w:t xml:space="preserve"> não tenha</w:t>
      </w:r>
      <w:r w:rsidRPr="00075E02">
        <w:rPr>
          <w:rFonts w:eastAsia="Calibri"/>
          <w:sz w:val="24"/>
          <w:szCs w:val="24"/>
        </w:rPr>
        <w:t xml:space="preserve"> a oportunidade de compensar a folga na semana seguinte, o empregador deve pagar, em dobro, a remuneração dos dias laborados, nos termos da Súmula nº 146 do TST. O objetivo do art. 62, II, da CLT é excluir a obrigação de o empregador remunerar, como extraordinário, o trabalho prestado pelos ocupantes de cargo de confiança</w:t>
      </w:r>
      <w:r>
        <w:rPr>
          <w:rFonts w:eastAsia="Calibri"/>
          <w:sz w:val="24"/>
          <w:szCs w:val="24"/>
        </w:rPr>
        <w:t xml:space="preserve">, mas isso </w:t>
      </w:r>
      <w:r w:rsidRPr="00075E02">
        <w:rPr>
          <w:rFonts w:eastAsia="Calibri"/>
          <w:sz w:val="24"/>
          <w:szCs w:val="24"/>
        </w:rPr>
        <w:t xml:space="preserve">não retira do </w:t>
      </w:r>
      <w:r>
        <w:rPr>
          <w:rFonts w:eastAsia="Calibri"/>
          <w:sz w:val="24"/>
          <w:szCs w:val="24"/>
        </w:rPr>
        <w:t xml:space="preserve">empregado </w:t>
      </w:r>
      <w:r w:rsidRPr="00075E02">
        <w:rPr>
          <w:rFonts w:eastAsia="Calibri"/>
          <w:sz w:val="24"/>
          <w:szCs w:val="24"/>
        </w:rPr>
        <w:t>o direito constitucionalmente assegurado ao repouso semanal remunerado, previsto no art. 7º, XV, da C</w:t>
      </w:r>
      <w:r>
        <w:rPr>
          <w:rFonts w:eastAsia="Calibri"/>
          <w:sz w:val="24"/>
          <w:szCs w:val="24"/>
        </w:rPr>
        <w:t>F</w:t>
      </w:r>
      <w:r w:rsidRPr="00075E02">
        <w:rPr>
          <w:rFonts w:eastAsia="Calibri"/>
          <w:sz w:val="24"/>
          <w:szCs w:val="24"/>
        </w:rPr>
        <w:t>. Sob esse entendimento, a SBDI-I, por unanimidade, conheceu do recurso de embargos</w:t>
      </w:r>
      <w:r>
        <w:rPr>
          <w:rFonts w:eastAsia="Calibri"/>
          <w:sz w:val="24"/>
          <w:szCs w:val="24"/>
        </w:rPr>
        <w:t>,</w:t>
      </w:r>
      <w:r w:rsidRPr="00075E02">
        <w:rPr>
          <w:rFonts w:eastAsia="Calibri"/>
          <w:sz w:val="24"/>
          <w:szCs w:val="24"/>
        </w:rPr>
        <w:t xml:space="preserve"> por divergência jurisprudencial</w:t>
      </w:r>
      <w:r>
        <w:rPr>
          <w:rFonts w:eastAsia="Calibri"/>
          <w:sz w:val="24"/>
          <w:szCs w:val="24"/>
        </w:rPr>
        <w:t>,</w:t>
      </w:r>
      <w:r w:rsidRPr="00075E02">
        <w:rPr>
          <w:rFonts w:eastAsia="Calibri"/>
          <w:sz w:val="24"/>
          <w:szCs w:val="24"/>
        </w:rPr>
        <w:t xml:space="preserve"> e, no mérito, negou-lhe provimento. </w:t>
      </w:r>
      <w:hyperlink r:id="rId11" w:history="1">
        <w:r w:rsidRPr="00FF03DC">
          <w:rPr>
            <w:rStyle w:val="Hyperlink"/>
            <w:rFonts w:eastAsia="Calibri"/>
            <w:sz w:val="24"/>
            <w:szCs w:val="24"/>
          </w:rPr>
          <w:t>TST-E-RR-3453300-61.2008.5.09.0013</w:t>
        </w:r>
      </w:hyperlink>
      <w:r w:rsidRPr="00075E02">
        <w:rPr>
          <w:rFonts w:eastAsia="Calibri"/>
          <w:sz w:val="24"/>
          <w:szCs w:val="24"/>
          <w:u w:val="single"/>
        </w:rPr>
        <w:t>, SBDI-I, rel. Min. José Roberto Freire Pimenta, 17.11.2016</w:t>
      </w:r>
    </w:p>
    <w:p w:rsidR="00971F6D" w:rsidRPr="00971F6D" w:rsidRDefault="00971F6D" w:rsidP="00971F6D">
      <w:pPr>
        <w:jc w:val="both"/>
        <w:rPr>
          <w:rFonts w:eastAsia="Calibri"/>
          <w:u w:val="single"/>
        </w:rPr>
      </w:pPr>
    </w:p>
    <w:p w:rsidR="00971F6D" w:rsidRPr="00971F6D" w:rsidRDefault="00971F6D" w:rsidP="00971F6D">
      <w:pPr>
        <w:pStyle w:val="Corpo"/>
        <w:spacing w:line="240" w:lineRule="auto"/>
        <w:ind w:firstLine="0"/>
        <w:rPr>
          <w:rFonts w:ascii="Times New Roman" w:eastAsia="Calibri" w:hAnsi="Times New Roman" w:cs="Times New Roman"/>
          <w:b/>
          <w:i/>
          <w:color w:val="auto"/>
          <w:lang w:val="pt-BR" w:eastAsia="en-US"/>
        </w:rPr>
      </w:pPr>
      <w:r w:rsidRPr="00971F6D">
        <w:rPr>
          <w:rFonts w:ascii="Times New Roman" w:eastAsia="Calibri" w:hAnsi="Times New Roman" w:cs="Times New Roman"/>
          <w:b/>
          <w:i/>
          <w:color w:val="auto"/>
          <w:lang w:val="pt-BR" w:eastAsia="en-US"/>
        </w:rPr>
        <w:t xml:space="preserve">Incidente de Recursos de Revista Repetitivos. “Tema nº 0001 – Bancário. Salário-hora. Divisor. Forma de cálculo. Empregado mensalista”. Modulação de efeitos. Proclamação do resultado. Encaminhamento da matéria ao Tribunal Pleno para modificação da Súmula nº 124 do TST. </w:t>
      </w:r>
    </w:p>
    <w:p w:rsidR="00971F6D" w:rsidRPr="00971F6D" w:rsidRDefault="00971F6D" w:rsidP="00971F6D">
      <w:pPr>
        <w:jc w:val="both"/>
        <w:rPr>
          <w:rFonts w:eastAsia="Calibri"/>
          <w:sz w:val="24"/>
          <w:szCs w:val="24"/>
        </w:rPr>
      </w:pPr>
      <w:r w:rsidRPr="00971F6D">
        <w:rPr>
          <w:rFonts w:eastAsia="Calibri"/>
          <w:sz w:val="24"/>
          <w:szCs w:val="24"/>
        </w:rPr>
        <w:t xml:space="preserve">A SBDI-I, por maioria, definiu as seguintes teses jurídicas para o Tema Repetitivo Nº 0001 - BANCÁRIO. SALÁRIO-HORA. DIVISOR. FORMA DE CÁLCULO. EMPREGADO MENSALISTA: 1. O número de dias de repouso semanal remunerado pode ser ampliado por convenção ou acordo coletivo de trabalho, como decorrência do exercício da autonomia sindical; 2. As convenções coletivas dos bancários não deram ao sábado a natureza de repouso semanal remunerado; 3. O divisor corresponde ao número de horas remuneradas pelo salário mensal, independentemente de serem trabalhadas ou não; 4. O divisor aplicável para cálculo das horas extras do bancário, inclusive para os submetidos à jornada de oito horas, é definido com base na regra geral prevista no art. 64 da CLT (resultado da multiplicação por 30 da jornada normal de trabalho), sendo 180 e 220, para a jornada normal de seis e oito horas, respectivamente; 5. A inclusão do sábado como dia de repouso semanal remunerado não altera o divisor, em virtude de não haver redução do número de horas semanais, trabalhadas e de repouso; 6. O número de semanas do mês é 4,2857, resultante da divisão de 30 (dias do mês) por 7 (dias da semana), não sendo válida, para efeito de definição do divisor, a multiplicação da duração semanal por 5; 7. Em caso de redução da duração semanal do trabalho, o divisor é obtido na forma prevista na Súmula nº 431 (multiplicação por 30 do resultado da divisão do número de horas trabalhadas por semana pelos dias úteis). Vencidos, quanto à tese nº 2, os Ministros Cláudio Mascarenhas Brandão, relator, Emmanoel Pereira, Augusto César Leite de Carvalho, Aloysio Corrêa da Veiga, José Roberto Freire Pimenta, Hugo Carlos Scheuermann e Alexandre Agra Belmonte. Ainda por maioria, decidiu a Subseção modular os efeitos da decisão, a fim de definir que a nova orientação não alcança estritamente decisão de mérito sobre divisor emanada de Turma do TST ou da SBDI-I, proferida no período de 27.09.2012 (DEJT em que se publicou a nova redação da Súmula nº 124, mediante acréscimo do atual item I) até a data de 21.11.2016. Vencidos, neste tópico, os Ministros Márcio Eurico Vitral Amaro, Augusto César Leite de Carvalho e Ives Gandra Martins filho, que não modulavam a decisão, e, parcialmente, os Ministros Brito Pereira, José Roberto Freire Pimenta e Hugo Carlos Scheuermann. Por fim, pelo voto prevalente da Presidência, a SBDI-I decidiu proclamar o resultado e remeter a matéria ao Tribunal Pleno, ouvida a Comissão de Jurisprudência e de Precedentes Normativos, para deliberar acerca da modificação da redação da Súmula nº 124 do TST. Vencidos os Ministros Cláudio Mascarenhas Brandão, relator, Renato de Lacerda Paiva, Augusto César Leite de Carvalho, Aloysio Corrêa da Veiga, José Roberto Freire Pimenta, Hugo Carlos Scheuermann e </w:t>
      </w:r>
      <w:r w:rsidRPr="00971F6D">
        <w:rPr>
          <w:rFonts w:eastAsia="Calibri"/>
          <w:sz w:val="24"/>
          <w:szCs w:val="24"/>
        </w:rPr>
        <w:lastRenderedPageBreak/>
        <w:t xml:space="preserve">Alexandre Agra Belmonte. </w:t>
      </w:r>
      <w:hyperlink r:id="rId12" w:history="1">
        <w:r w:rsidRPr="00971F6D">
          <w:rPr>
            <w:rStyle w:val="Hyperlink"/>
            <w:rFonts w:eastAsia="Calibri"/>
            <w:sz w:val="24"/>
            <w:szCs w:val="24"/>
          </w:rPr>
          <w:t>TST-IRR-849-83.2013.5.03.0138</w:t>
        </w:r>
      </w:hyperlink>
      <w:r w:rsidRPr="00971F6D">
        <w:rPr>
          <w:rFonts w:eastAsia="Calibri"/>
          <w:sz w:val="24"/>
          <w:szCs w:val="24"/>
          <w:u w:val="single"/>
        </w:rPr>
        <w:t xml:space="preserve">, </w:t>
      </w:r>
      <w:r>
        <w:rPr>
          <w:rFonts w:eastAsia="Calibri"/>
          <w:sz w:val="24"/>
          <w:szCs w:val="24"/>
          <w:u w:val="single"/>
        </w:rPr>
        <w:t>SBDI-I</w:t>
      </w:r>
      <w:r w:rsidRPr="00971F6D">
        <w:rPr>
          <w:rFonts w:eastAsia="Calibri"/>
          <w:sz w:val="24"/>
          <w:szCs w:val="24"/>
          <w:u w:val="single"/>
        </w:rPr>
        <w:t>, rel. Min. Cláudio Mascarenhas Brandão, 21.11.2016</w:t>
      </w:r>
    </w:p>
    <w:p w:rsidR="00971F6D" w:rsidRPr="00971F6D" w:rsidRDefault="00971F6D" w:rsidP="006D0B48">
      <w:pPr>
        <w:jc w:val="both"/>
        <w:rPr>
          <w:u w:val="single"/>
        </w:rPr>
      </w:pPr>
    </w:p>
    <w:p w:rsidR="00971F6D" w:rsidRPr="00CE7555" w:rsidRDefault="00971F6D" w:rsidP="00971F6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SUBSEÇÃO II ESPECIALIZADA EM DISSÍDIOS INDIVIDUAIS</w:t>
      </w:r>
    </w:p>
    <w:p w:rsidR="00971F6D" w:rsidRPr="00971F6D" w:rsidRDefault="00971F6D" w:rsidP="006D0B48">
      <w:pPr>
        <w:jc w:val="both"/>
        <w:rPr>
          <w:u w:val="single"/>
        </w:rPr>
      </w:pPr>
    </w:p>
    <w:p w:rsidR="00971F6D" w:rsidRPr="00B4525E" w:rsidRDefault="00971F6D" w:rsidP="00971F6D">
      <w:pPr>
        <w:jc w:val="both"/>
        <w:rPr>
          <w:b/>
          <w:i/>
          <w:sz w:val="24"/>
          <w:szCs w:val="24"/>
        </w:rPr>
      </w:pPr>
      <w:r w:rsidRPr="001147E6">
        <w:rPr>
          <w:b/>
          <w:i/>
          <w:sz w:val="24"/>
          <w:szCs w:val="24"/>
        </w:rPr>
        <w:t>Conflito negativo de competência.</w:t>
      </w:r>
      <w:r>
        <w:rPr>
          <w:b/>
          <w:i/>
          <w:sz w:val="24"/>
          <w:szCs w:val="24"/>
        </w:rPr>
        <w:t xml:space="preserve"> Competência territorial. Art. 651, </w:t>
      </w:r>
      <w:r w:rsidRPr="00575A53">
        <w:rPr>
          <w:i/>
          <w:sz w:val="24"/>
          <w:szCs w:val="24"/>
        </w:rPr>
        <w:t>caput</w:t>
      </w:r>
      <w:r>
        <w:rPr>
          <w:b/>
          <w:i/>
          <w:sz w:val="24"/>
          <w:szCs w:val="24"/>
        </w:rPr>
        <w:t xml:space="preserve"> e § 3º, da CLT</w:t>
      </w:r>
      <w:r w:rsidRPr="000E3900">
        <w:rPr>
          <w:b/>
          <w:i/>
          <w:sz w:val="24"/>
          <w:szCs w:val="24"/>
        </w:rPr>
        <w:t>.</w:t>
      </w:r>
      <w:r>
        <w:rPr>
          <w:b/>
          <w:i/>
          <w:sz w:val="24"/>
          <w:szCs w:val="24"/>
        </w:rPr>
        <w:t xml:space="preserve"> Pretensão deduzida por c</w:t>
      </w:r>
      <w:r w:rsidRPr="001147E6">
        <w:rPr>
          <w:b/>
          <w:i/>
          <w:sz w:val="24"/>
          <w:szCs w:val="24"/>
        </w:rPr>
        <w:t>andidata aprovada</w:t>
      </w:r>
      <w:r>
        <w:rPr>
          <w:b/>
          <w:i/>
          <w:sz w:val="24"/>
          <w:szCs w:val="24"/>
        </w:rPr>
        <w:t xml:space="preserve"> em concurso público. Fase pré-contratual. T</w:t>
      </w:r>
      <w:r w:rsidRPr="001147E6">
        <w:rPr>
          <w:b/>
          <w:i/>
          <w:sz w:val="24"/>
          <w:szCs w:val="24"/>
        </w:rPr>
        <w:t>erceirização dos serviços no prazo de validade do concurso na região em que foi aprovada</w:t>
      </w:r>
      <w:r w:rsidRPr="00B4525E">
        <w:rPr>
          <w:b/>
          <w:i/>
          <w:sz w:val="24"/>
          <w:szCs w:val="24"/>
        </w:rPr>
        <w:t>.</w:t>
      </w:r>
      <w:r>
        <w:rPr>
          <w:b/>
          <w:i/>
          <w:sz w:val="24"/>
          <w:szCs w:val="24"/>
        </w:rPr>
        <w:t xml:space="preserve"> </w:t>
      </w:r>
    </w:p>
    <w:p w:rsidR="00971F6D" w:rsidRPr="00B4525E" w:rsidRDefault="00971F6D" w:rsidP="00971F6D">
      <w:pPr>
        <w:jc w:val="both"/>
        <w:rPr>
          <w:sz w:val="24"/>
          <w:szCs w:val="24"/>
          <w:u w:val="single"/>
        </w:rPr>
      </w:pPr>
      <w:r w:rsidRPr="007D502D">
        <w:rPr>
          <w:sz w:val="24"/>
          <w:szCs w:val="24"/>
        </w:rPr>
        <w:t xml:space="preserve">Questões alusivas à competência territorial devem ser resolvidas com base nas regras inscritas no art. 651, </w:t>
      </w:r>
      <w:r w:rsidRPr="00575A53">
        <w:rPr>
          <w:i/>
          <w:sz w:val="24"/>
          <w:szCs w:val="24"/>
        </w:rPr>
        <w:t>caput</w:t>
      </w:r>
      <w:r w:rsidRPr="007D502D">
        <w:rPr>
          <w:sz w:val="24"/>
          <w:szCs w:val="24"/>
        </w:rPr>
        <w:t xml:space="preserve"> e § 3º, da CLT, segundo as quais deve ser observado o foro da prestação de serviços ou o foro da contratação. No caso concreto, busca a </w:t>
      </w:r>
      <w:r>
        <w:rPr>
          <w:sz w:val="24"/>
          <w:szCs w:val="24"/>
        </w:rPr>
        <w:t>r</w:t>
      </w:r>
      <w:r w:rsidRPr="007D502D">
        <w:rPr>
          <w:sz w:val="24"/>
          <w:szCs w:val="24"/>
        </w:rPr>
        <w:t xml:space="preserve">eclamante ser admitida nos quadros do Banco do Brasil em virtude de ter logrado aprovação em concurso público, alegando ter havido preterição na ordem de convocação dos candidatos aprovados, em face da contratação de trabalhadores temporários e terceirizados em atividade fim do banco. </w:t>
      </w:r>
      <w:r>
        <w:rPr>
          <w:sz w:val="24"/>
          <w:szCs w:val="24"/>
        </w:rPr>
        <w:t xml:space="preserve">Não obstante </w:t>
      </w:r>
      <w:r w:rsidRPr="007D502D">
        <w:rPr>
          <w:sz w:val="24"/>
          <w:szCs w:val="24"/>
        </w:rPr>
        <w:t>a discussão anteced</w:t>
      </w:r>
      <w:r>
        <w:rPr>
          <w:sz w:val="24"/>
          <w:szCs w:val="24"/>
        </w:rPr>
        <w:t>a</w:t>
      </w:r>
      <w:r w:rsidRPr="007D502D">
        <w:rPr>
          <w:sz w:val="24"/>
          <w:szCs w:val="24"/>
        </w:rPr>
        <w:t xml:space="preserve"> a própria constituição do vínculo laboral, a solução que se impõe é a de considerar competente, por extensão, o foro do local em que os serviços deveriam ser prestados ou, sucessivamente, do local em que iniciadas as medidas para a contratação, com a inscrição no concurso público, já que figura no polo passivo instituição financeira com atuação em âmbito nacional.</w:t>
      </w:r>
      <w:r>
        <w:rPr>
          <w:sz w:val="24"/>
          <w:szCs w:val="24"/>
        </w:rPr>
        <w:t xml:space="preserve"> De outra sorte, </w:t>
      </w:r>
      <w:r w:rsidRPr="000B10C5">
        <w:rPr>
          <w:sz w:val="24"/>
          <w:szCs w:val="24"/>
        </w:rPr>
        <w:t>ainda que se afaste a incidência do art. 651 da CLT, permanece a competência do local da sede</w:t>
      </w:r>
      <w:r>
        <w:rPr>
          <w:sz w:val="24"/>
          <w:szCs w:val="24"/>
        </w:rPr>
        <w:t xml:space="preserve"> da agência em que a trabalhadora poderá vir a ser lotada, nos termos do art. 100, IV, “b”, do CPC de 1973.  </w:t>
      </w:r>
      <w:r w:rsidRPr="007D502D">
        <w:rPr>
          <w:sz w:val="24"/>
          <w:szCs w:val="24"/>
        </w:rPr>
        <w:t>Com</w:t>
      </w:r>
      <w:r>
        <w:rPr>
          <w:sz w:val="24"/>
          <w:szCs w:val="24"/>
        </w:rPr>
        <w:t xml:space="preserve"> esses fundamentos, a </w:t>
      </w:r>
      <w:r w:rsidRPr="007D502D">
        <w:rPr>
          <w:sz w:val="24"/>
          <w:szCs w:val="24"/>
        </w:rPr>
        <w:t>SBDI-II, por unanimidade, admitiu o conflito negativo de competênci</w:t>
      </w:r>
      <w:r>
        <w:rPr>
          <w:sz w:val="24"/>
          <w:szCs w:val="24"/>
        </w:rPr>
        <w:t>a para declarar a competência da Vara do Trabalho de Votuporanga/SP, local sede da microrregião de habilitação da reclamante no certame.</w:t>
      </w:r>
      <w:r>
        <w:rPr>
          <w:rFonts w:ascii="Courier" w:hAnsi="Courier" w:cs="Courier"/>
        </w:rPr>
        <w:t xml:space="preserve"> </w:t>
      </w:r>
      <w:hyperlink r:id="rId13" w:history="1">
        <w:r w:rsidRPr="00FF03DC">
          <w:rPr>
            <w:rStyle w:val="Hyperlink"/>
            <w:sz w:val="24"/>
            <w:szCs w:val="24"/>
          </w:rPr>
          <w:t>TST-CC-328-55.2016.5.10.0004</w:t>
        </w:r>
      </w:hyperlink>
      <w:r w:rsidRPr="00B4525E">
        <w:rPr>
          <w:sz w:val="24"/>
          <w:szCs w:val="24"/>
          <w:u w:val="single"/>
        </w:rPr>
        <w:t>, SBDI-</w:t>
      </w:r>
      <w:r>
        <w:rPr>
          <w:sz w:val="24"/>
          <w:szCs w:val="24"/>
          <w:u w:val="single"/>
        </w:rPr>
        <w:t>I</w:t>
      </w:r>
      <w:r w:rsidRPr="00B4525E">
        <w:rPr>
          <w:sz w:val="24"/>
          <w:szCs w:val="24"/>
          <w:u w:val="single"/>
        </w:rPr>
        <w:t xml:space="preserve">I, rel. Min. </w:t>
      </w:r>
      <w:r>
        <w:rPr>
          <w:sz w:val="24"/>
          <w:szCs w:val="24"/>
          <w:u w:val="single"/>
        </w:rPr>
        <w:t>Douglas Alencar Rodrigues</w:t>
      </w:r>
      <w:r w:rsidRPr="00B4525E">
        <w:rPr>
          <w:sz w:val="24"/>
          <w:szCs w:val="24"/>
          <w:u w:val="single"/>
        </w:rPr>
        <w:t xml:space="preserve">, </w:t>
      </w:r>
      <w:r>
        <w:rPr>
          <w:sz w:val="24"/>
          <w:szCs w:val="24"/>
          <w:u w:val="single"/>
        </w:rPr>
        <w:t>8.11.2016</w:t>
      </w:r>
    </w:p>
    <w:p w:rsidR="00CE737B" w:rsidRDefault="00CE737B" w:rsidP="006D0B48">
      <w:pPr>
        <w:jc w:val="both"/>
        <w:rPr>
          <w:sz w:val="24"/>
          <w:szCs w:val="24"/>
          <w:u w:val="single"/>
        </w:rPr>
      </w:pPr>
    </w:p>
    <w:p w:rsidR="00CE737B" w:rsidRDefault="00CE737B" w:rsidP="006D0B48">
      <w:pPr>
        <w:jc w:val="both"/>
        <w:rPr>
          <w:sz w:val="24"/>
          <w:szCs w:val="24"/>
          <w:u w:val="single"/>
        </w:rPr>
      </w:pPr>
    </w:p>
    <w:p w:rsidR="00CE737B" w:rsidRDefault="00CE737B" w:rsidP="006D0B48">
      <w:pPr>
        <w:jc w:val="both"/>
        <w:rPr>
          <w:sz w:val="24"/>
          <w:szCs w:val="24"/>
          <w:u w:val="single"/>
        </w:rPr>
      </w:pPr>
    </w:p>
    <w:p w:rsidR="00CE737B" w:rsidRDefault="00CE737B" w:rsidP="006D0B48">
      <w:pPr>
        <w:jc w:val="both"/>
        <w:rPr>
          <w:sz w:val="24"/>
          <w:szCs w:val="24"/>
        </w:rPr>
      </w:pPr>
    </w:p>
    <w:p w:rsidR="006D0B48" w:rsidRDefault="006D0B48" w:rsidP="00C6738C">
      <w:pPr>
        <w:rPr>
          <w:sz w:val="10"/>
          <w:szCs w:val="10"/>
        </w:rPr>
      </w:pPr>
    </w:p>
    <w:p w:rsidR="006D0B48" w:rsidRPr="001D6AC9" w:rsidRDefault="006D0B48" w:rsidP="00C6738C">
      <w:pPr>
        <w:rPr>
          <w:sz w:val="10"/>
          <w:szCs w:val="10"/>
        </w:rPr>
      </w:pP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CE7555">
        <w:rPr>
          <w:b w:val="0"/>
          <w:bCs w:val="0"/>
          <w:snapToGrid w:val="0"/>
          <w:sz w:val="25"/>
          <w:szCs w:val="25"/>
        </w:rPr>
        <w:t xml:space="preserve">Informativo TST é mantido pela </w:t>
      </w: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CE7555">
        <w:rPr>
          <w:b w:val="0"/>
          <w:bCs w:val="0"/>
          <w:snapToGrid w:val="0"/>
          <w:sz w:val="25"/>
          <w:szCs w:val="25"/>
        </w:rPr>
        <w:t>Coordenadoria de Jurisprudência – CJUR</w:t>
      </w:r>
    </w:p>
    <w:p w:rsidR="00184590"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Informações/Sugestões/Críticas: (61)3043</w:t>
      </w:r>
      <w:r w:rsidR="00352B27" w:rsidRPr="00CE7555">
        <w:rPr>
          <w:snapToGrid w:val="0"/>
          <w:sz w:val="25"/>
          <w:szCs w:val="25"/>
        </w:rPr>
        <w:t>-</w:t>
      </w:r>
      <w:r w:rsidRPr="00CE7555">
        <w:rPr>
          <w:snapToGrid w:val="0"/>
          <w:sz w:val="25"/>
          <w:szCs w:val="25"/>
        </w:rPr>
        <w:t>4</w:t>
      </w:r>
      <w:r w:rsidR="00D72C05" w:rsidRPr="00CE7555">
        <w:rPr>
          <w:snapToGrid w:val="0"/>
          <w:sz w:val="25"/>
          <w:szCs w:val="25"/>
        </w:rPr>
        <w:t>417</w:t>
      </w:r>
    </w:p>
    <w:p w:rsidR="007614F1"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cjur@tst.jus.br</w:t>
      </w:r>
    </w:p>
    <w:sectPr w:rsidR="007614F1" w:rsidRPr="00CE7555" w:rsidSect="00D11B24">
      <w:headerReference w:type="default" r:id="rId14"/>
      <w:footerReference w:type="default" r:id="rId15"/>
      <w:headerReference w:type="first" r:id="rId16"/>
      <w:footerReference w:type="first" r:id="rId17"/>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BE" w:rsidRDefault="007739BE">
      <w:r>
        <w:separator/>
      </w:r>
    </w:p>
  </w:endnote>
  <w:endnote w:type="continuationSeparator" w:id="0">
    <w:p w:rsidR="007739BE" w:rsidRDefault="0077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790A">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3F790A">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BE" w:rsidRDefault="007739BE">
      <w:r>
        <w:separator/>
      </w:r>
    </w:p>
  </w:footnote>
  <w:footnote w:type="continuationSeparator" w:id="0">
    <w:p w:rsidR="007739BE" w:rsidRDefault="0077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C51600">
      <w:rPr>
        <w:shadow/>
        <w:sz w:val="24"/>
        <w:szCs w:val="24"/>
      </w:rPr>
      <w:t>1</w:t>
    </w:r>
    <w:r w:rsidR="008E3CCE">
      <w:rPr>
        <w:shadow/>
        <w:sz w:val="24"/>
        <w:szCs w:val="24"/>
      </w:rPr>
      <w:t>4</w:t>
    </w:r>
    <w:r w:rsidR="00971F6D">
      <w:rPr>
        <w:shadow/>
        <w:sz w:val="24"/>
        <w:szCs w:val="24"/>
      </w:rPr>
      <w:t>9</w:t>
    </w:r>
  </w:p>
  <w:p w:rsidR="00CE7555" w:rsidRPr="005D1DE4" w:rsidRDefault="00187A37" w:rsidP="00CE7555">
    <w:pPr>
      <w:pStyle w:val="Cabealho"/>
      <w:jc w:val="right"/>
    </w:pPr>
    <w:r w:rsidRPr="003C0554">
      <w:rPr>
        <w:noProof/>
      </w:rPr>
      <w:pict>
        <v:line id="_x0000_s2049" style="position:absolute;left:0;text-align:left;flip:x;z-index:251657216" from=".9pt,10.15pt" to="497.7pt,10.15pt" o:allowincell="f" strokecolor="#969696"/>
      </w:pict>
    </w:r>
    <w:r w:rsidR="00DB0223" w:rsidRPr="003C0554">
      <w:rPr>
        <w:iCs/>
      </w:rPr>
      <w:t xml:space="preserve"> </w:t>
    </w:r>
    <w:r w:rsidR="00494DD1">
      <w:rPr>
        <w:i/>
        <w:iCs/>
      </w:rPr>
      <w:t>Período:</w:t>
    </w:r>
    <w:r w:rsidR="009802D2">
      <w:rPr>
        <w:i/>
        <w:iCs/>
      </w:rPr>
      <w:t xml:space="preserve"> </w:t>
    </w:r>
    <w:r w:rsidR="00971F6D">
      <w:rPr>
        <w:i/>
        <w:iCs/>
      </w:rPr>
      <w:t xml:space="preserve">8 </w:t>
    </w:r>
    <w:r w:rsidR="00CE737B">
      <w:rPr>
        <w:i/>
        <w:iCs/>
      </w:rPr>
      <w:t xml:space="preserve">a </w:t>
    </w:r>
    <w:r w:rsidR="00971F6D">
      <w:rPr>
        <w:i/>
        <w:iCs/>
      </w:rPr>
      <w:t>21</w:t>
    </w:r>
    <w:r w:rsidR="00CE737B">
      <w:rPr>
        <w:i/>
        <w:iCs/>
      </w:rPr>
      <w:t xml:space="preserve"> de novembro </w:t>
    </w:r>
    <w:r w:rsidR="000E5C57">
      <w:rPr>
        <w:i/>
        <w:iCs/>
      </w:rPr>
      <w:t>d</w:t>
    </w:r>
    <w:r w:rsidR="00971E5F">
      <w:rPr>
        <w:i/>
        <w:iCs/>
      </w:rPr>
      <w:t>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C51600">
      <w:rPr>
        <w:b/>
        <w:sz w:val="40"/>
        <w:szCs w:val="40"/>
      </w:rPr>
      <w:t>1</w:t>
    </w:r>
    <w:r w:rsidR="00393131">
      <w:rPr>
        <w:b/>
        <w:sz w:val="40"/>
        <w:szCs w:val="40"/>
      </w:rPr>
      <w:t>4</w:t>
    </w:r>
    <w:r w:rsidR="00971F6D">
      <w:rPr>
        <w:b/>
        <w:sz w:val="40"/>
        <w:szCs w:val="40"/>
      </w:rPr>
      <w:t>9</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8E3CCE" w:rsidRPr="009B320F">
      <w:rPr>
        <w:i/>
        <w:iCs/>
      </w:rPr>
      <w:t xml:space="preserve"> </w:t>
    </w:r>
    <w:r w:rsidR="00971F6D">
      <w:rPr>
        <w:i/>
        <w:iCs/>
      </w:rPr>
      <w:t>8</w:t>
    </w:r>
    <w:r w:rsidR="006D0B48">
      <w:rPr>
        <w:i/>
        <w:iCs/>
      </w:rPr>
      <w:t xml:space="preserve"> </w:t>
    </w:r>
    <w:r w:rsidR="00ED4508">
      <w:rPr>
        <w:i/>
        <w:iCs/>
      </w:rPr>
      <w:t xml:space="preserve">a </w:t>
    </w:r>
    <w:r w:rsidR="00971F6D">
      <w:rPr>
        <w:i/>
        <w:iCs/>
      </w:rPr>
      <w:t>21</w:t>
    </w:r>
    <w:r w:rsidR="00ED4508">
      <w:rPr>
        <w:i/>
        <w:iCs/>
      </w:rPr>
      <w:t xml:space="preserve"> de </w:t>
    </w:r>
    <w:r w:rsidR="006D0B48">
      <w:rPr>
        <w:i/>
        <w:iCs/>
      </w:rPr>
      <w:t xml:space="preserve">novembro </w:t>
    </w:r>
    <w:r w:rsidR="00ED4508">
      <w:rPr>
        <w:i/>
        <w:iCs/>
      </w:rPr>
      <w:t>d</w:t>
    </w:r>
    <w:r w:rsidR="004A094C" w:rsidRPr="009B320F">
      <w:rPr>
        <w:i/>
        <w:iCs/>
      </w:rPr>
      <w:t>e 201</w:t>
    </w:r>
    <w:r w:rsidR="000E5C57" w:rsidRPr="009B320F">
      <w:rPr>
        <w:i/>
        <w:iCs/>
      </w:rPr>
      <w:t>6</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1967"/>
    <w:rsid w:val="000228E6"/>
    <w:rsid w:val="000249BA"/>
    <w:rsid w:val="00024CE9"/>
    <w:rsid w:val="00032056"/>
    <w:rsid w:val="000322FB"/>
    <w:rsid w:val="000332F1"/>
    <w:rsid w:val="00034034"/>
    <w:rsid w:val="000425FC"/>
    <w:rsid w:val="00050E85"/>
    <w:rsid w:val="0005125E"/>
    <w:rsid w:val="00055A9D"/>
    <w:rsid w:val="00056752"/>
    <w:rsid w:val="0005765E"/>
    <w:rsid w:val="00057B87"/>
    <w:rsid w:val="0006020E"/>
    <w:rsid w:val="00064486"/>
    <w:rsid w:val="00065048"/>
    <w:rsid w:val="000733B4"/>
    <w:rsid w:val="00073643"/>
    <w:rsid w:val="00073880"/>
    <w:rsid w:val="00075BDB"/>
    <w:rsid w:val="00076E4F"/>
    <w:rsid w:val="00080C40"/>
    <w:rsid w:val="00080F10"/>
    <w:rsid w:val="000858FB"/>
    <w:rsid w:val="0009237D"/>
    <w:rsid w:val="00093AE9"/>
    <w:rsid w:val="00093BA8"/>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11575C"/>
    <w:rsid w:val="0011692E"/>
    <w:rsid w:val="00122C2A"/>
    <w:rsid w:val="001257D7"/>
    <w:rsid w:val="00137564"/>
    <w:rsid w:val="00137DC1"/>
    <w:rsid w:val="00141630"/>
    <w:rsid w:val="00142C28"/>
    <w:rsid w:val="00152238"/>
    <w:rsid w:val="0015612D"/>
    <w:rsid w:val="00161CDE"/>
    <w:rsid w:val="00163142"/>
    <w:rsid w:val="001648F5"/>
    <w:rsid w:val="00176D15"/>
    <w:rsid w:val="0018296E"/>
    <w:rsid w:val="00183803"/>
    <w:rsid w:val="00184590"/>
    <w:rsid w:val="00187A37"/>
    <w:rsid w:val="00187BEF"/>
    <w:rsid w:val="0019151D"/>
    <w:rsid w:val="001920CD"/>
    <w:rsid w:val="00193208"/>
    <w:rsid w:val="001932B7"/>
    <w:rsid w:val="00197B15"/>
    <w:rsid w:val="001B2C08"/>
    <w:rsid w:val="001C04D2"/>
    <w:rsid w:val="001C21FB"/>
    <w:rsid w:val="001C271F"/>
    <w:rsid w:val="001C6C93"/>
    <w:rsid w:val="001D4CF9"/>
    <w:rsid w:val="001D4E17"/>
    <w:rsid w:val="001D5AB0"/>
    <w:rsid w:val="001D6AC9"/>
    <w:rsid w:val="001D757D"/>
    <w:rsid w:val="001E14A9"/>
    <w:rsid w:val="001E14BB"/>
    <w:rsid w:val="001E3B29"/>
    <w:rsid w:val="001E4B57"/>
    <w:rsid w:val="001E5BD1"/>
    <w:rsid w:val="001E713B"/>
    <w:rsid w:val="001E79B4"/>
    <w:rsid w:val="001F030F"/>
    <w:rsid w:val="001F45E0"/>
    <w:rsid w:val="00204C97"/>
    <w:rsid w:val="00206810"/>
    <w:rsid w:val="002168DE"/>
    <w:rsid w:val="00224AC2"/>
    <w:rsid w:val="00230183"/>
    <w:rsid w:val="0023559D"/>
    <w:rsid w:val="002402B0"/>
    <w:rsid w:val="002449F9"/>
    <w:rsid w:val="00255732"/>
    <w:rsid w:val="00257B4A"/>
    <w:rsid w:val="00260B37"/>
    <w:rsid w:val="002635ED"/>
    <w:rsid w:val="002662BA"/>
    <w:rsid w:val="00266D49"/>
    <w:rsid w:val="00271C5C"/>
    <w:rsid w:val="00271E67"/>
    <w:rsid w:val="002730B5"/>
    <w:rsid w:val="002766D5"/>
    <w:rsid w:val="00276EA0"/>
    <w:rsid w:val="00280594"/>
    <w:rsid w:val="00285064"/>
    <w:rsid w:val="002A219D"/>
    <w:rsid w:val="002A521A"/>
    <w:rsid w:val="002A546D"/>
    <w:rsid w:val="002B0750"/>
    <w:rsid w:val="002B4738"/>
    <w:rsid w:val="002B6377"/>
    <w:rsid w:val="002C2904"/>
    <w:rsid w:val="002E78CB"/>
    <w:rsid w:val="002F28E5"/>
    <w:rsid w:val="003074FC"/>
    <w:rsid w:val="0033397A"/>
    <w:rsid w:val="00340D16"/>
    <w:rsid w:val="00340E8D"/>
    <w:rsid w:val="00342846"/>
    <w:rsid w:val="003503FC"/>
    <w:rsid w:val="00352B27"/>
    <w:rsid w:val="0035374D"/>
    <w:rsid w:val="00363255"/>
    <w:rsid w:val="0036325E"/>
    <w:rsid w:val="003671FE"/>
    <w:rsid w:val="003708FD"/>
    <w:rsid w:val="003726D1"/>
    <w:rsid w:val="003745DE"/>
    <w:rsid w:val="0037667D"/>
    <w:rsid w:val="00377D5F"/>
    <w:rsid w:val="00380212"/>
    <w:rsid w:val="00383A89"/>
    <w:rsid w:val="00384075"/>
    <w:rsid w:val="003908C5"/>
    <w:rsid w:val="00393131"/>
    <w:rsid w:val="0039326C"/>
    <w:rsid w:val="00396053"/>
    <w:rsid w:val="003A1F0A"/>
    <w:rsid w:val="003A4086"/>
    <w:rsid w:val="003A5E5B"/>
    <w:rsid w:val="003B045C"/>
    <w:rsid w:val="003B0538"/>
    <w:rsid w:val="003B0A59"/>
    <w:rsid w:val="003B3EB5"/>
    <w:rsid w:val="003B4E23"/>
    <w:rsid w:val="003B767E"/>
    <w:rsid w:val="003C01E8"/>
    <w:rsid w:val="003C0554"/>
    <w:rsid w:val="003C1AB7"/>
    <w:rsid w:val="003C6FE7"/>
    <w:rsid w:val="003D032E"/>
    <w:rsid w:val="003D4205"/>
    <w:rsid w:val="003E1C53"/>
    <w:rsid w:val="003F2078"/>
    <w:rsid w:val="003F790A"/>
    <w:rsid w:val="004034A8"/>
    <w:rsid w:val="00416D9A"/>
    <w:rsid w:val="00423641"/>
    <w:rsid w:val="0042772A"/>
    <w:rsid w:val="004323B0"/>
    <w:rsid w:val="00437995"/>
    <w:rsid w:val="0044014F"/>
    <w:rsid w:val="00444E88"/>
    <w:rsid w:val="004477EC"/>
    <w:rsid w:val="004505D5"/>
    <w:rsid w:val="00450BAD"/>
    <w:rsid w:val="0045657C"/>
    <w:rsid w:val="00457A40"/>
    <w:rsid w:val="004655CC"/>
    <w:rsid w:val="00466DB9"/>
    <w:rsid w:val="00470EF8"/>
    <w:rsid w:val="004731B7"/>
    <w:rsid w:val="00486521"/>
    <w:rsid w:val="00486DFC"/>
    <w:rsid w:val="004922D6"/>
    <w:rsid w:val="00494DD1"/>
    <w:rsid w:val="004A094C"/>
    <w:rsid w:val="004A14FC"/>
    <w:rsid w:val="004A5264"/>
    <w:rsid w:val="004A5908"/>
    <w:rsid w:val="004A7C59"/>
    <w:rsid w:val="004B21AD"/>
    <w:rsid w:val="004B63FB"/>
    <w:rsid w:val="004C011C"/>
    <w:rsid w:val="004C14EA"/>
    <w:rsid w:val="004C2118"/>
    <w:rsid w:val="004C2612"/>
    <w:rsid w:val="004C749C"/>
    <w:rsid w:val="004C759F"/>
    <w:rsid w:val="004D6000"/>
    <w:rsid w:val="004D6415"/>
    <w:rsid w:val="004D71E8"/>
    <w:rsid w:val="004E393E"/>
    <w:rsid w:val="004E4507"/>
    <w:rsid w:val="004E4619"/>
    <w:rsid w:val="004F0A7D"/>
    <w:rsid w:val="004F5040"/>
    <w:rsid w:val="00513789"/>
    <w:rsid w:val="0051538E"/>
    <w:rsid w:val="00517E01"/>
    <w:rsid w:val="00521EEC"/>
    <w:rsid w:val="00543B94"/>
    <w:rsid w:val="005460BD"/>
    <w:rsid w:val="005521C8"/>
    <w:rsid w:val="00553197"/>
    <w:rsid w:val="0055409E"/>
    <w:rsid w:val="00554139"/>
    <w:rsid w:val="00556367"/>
    <w:rsid w:val="00556B35"/>
    <w:rsid w:val="00573E13"/>
    <w:rsid w:val="005811A4"/>
    <w:rsid w:val="00584F82"/>
    <w:rsid w:val="00591DFA"/>
    <w:rsid w:val="005A30AA"/>
    <w:rsid w:val="005A5695"/>
    <w:rsid w:val="005B0A1C"/>
    <w:rsid w:val="005B22CE"/>
    <w:rsid w:val="005B2F00"/>
    <w:rsid w:val="005B3792"/>
    <w:rsid w:val="005B57DE"/>
    <w:rsid w:val="005C1886"/>
    <w:rsid w:val="005C761E"/>
    <w:rsid w:val="005D0E5F"/>
    <w:rsid w:val="005D1DE4"/>
    <w:rsid w:val="005E35BD"/>
    <w:rsid w:val="005E3D4D"/>
    <w:rsid w:val="005E7FD1"/>
    <w:rsid w:val="005F0545"/>
    <w:rsid w:val="005F2858"/>
    <w:rsid w:val="006002E3"/>
    <w:rsid w:val="00602FF7"/>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2202"/>
    <w:rsid w:val="006931CC"/>
    <w:rsid w:val="006947F2"/>
    <w:rsid w:val="00697919"/>
    <w:rsid w:val="006B3FCF"/>
    <w:rsid w:val="006B46CA"/>
    <w:rsid w:val="006C0391"/>
    <w:rsid w:val="006C28B3"/>
    <w:rsid w:val="006D0B48"/>
    <w:rsid w:val="006D1F66"/>
    <w:rsid w:val="006D306E"/>
    <w:rsid w:val="006D4497"/>
    <w:rsid w:val="006E1A9C"/>
    <w:rsid w:val="006F6C15"/>
    <w:rsid w:val="00700B1B"/>
    <w:rsid w:val="007029CF"/>
    <w:rsid w:val="0070727E"/>
    <w:rsid w:val="00710D3A"/>
    <w:rsid w:val="0071315F"/>
    <w:rsid w:val="00720057"/>
    <w:rsid w:val="00721942"/>
    <w:rsid w:val="00722BE7"/>
    <w:rsid w:val="00732DF2"/>
    <w:rsid w:val="007403B3"/>
    <w:rsid w:val="007614F1"/>
    <w:rsid w:val="007618C5"/>
    <w:rsid w:val="00764066"/>
    <w:rsid w:val="00766B7B"/>
    <w:rsid w:val="007739BE"/>
    <w:rsid w:val="0077600F"/>
    <w:rsid w:val="00776118"/>
    <w:rsid w:val="00781C77"/>
    <w:rsid w:val="00796745"/>
    <w:rsid w:val="007B0F83"/>
    <w:rsid w:val="007C0A4F"/>
    <w:rsid w:val="007D29A1"/>
    <w:rsid w:val="007D2EE9"/>
    <w:rsid w:val="007D469A"/>
    <w:rsid w:val="007E094E"/>
    <w:rsid w:val="007E0EA7"/>
    <w:rsid w:val="007E37B1"/>
    <w:rsid w:val="007E3F23"/>
    <w:rsid w:val="007F142E"/>
    <w:rsid w:val="007F66BC"/>
    <w:rsid w:val="007F7B5E"/>
    <w:rsid w:val="00800B97"/>
    <w:rsid w:val="00801246"/>
    <w:rsid w:val="00802B1A"/>
    <w:rsid w:val="00805CD2"/>
    <w:rsid w:val="0080615C"/>
    <w:rsid w:val="0081027F"/>
    <w:rsid w:val="0081742D"/>
    <w:rsid w:val="00817AB1"/>
    <w:rsid w:val="00821F4D"/>
    <w:rsid w:val="00823906"/>
    <w:rsid w:val="008409D3"/>
    <w:rsid w:val="0084319F"/>
    <w:rsid w:val="00844374"/>
    <w:rsid w:val="00845559"/>
    <w:rsid w:val="00854DB8"/>
    <w:rsid w:val="00854EF2"/>
    <w:rsid w:val="00855623"/>
    <w:rsid w:val="00855D99"/>
    <w:rsid w:val="0086211B"/>
    <w:rsid w:val="008622CF"/>
    <w:rsid w:val="008627C6"/>
    <w:rsid w:val="00863B86"/>
    <w:rsid w:val="008652A2"/>
    <w:rsid w:val="008706CD"/>
    <w:rsid w:val="00871F69"/>
    <w:rsid w:val="008842D0"/>
    <w:rsid w:val="00884AC4"/>
    <w:rsid w:val="0088579D"/>
    <w:rsid w:val="008A1A58"/>
    <w:rsid w:val="008A49DF"/>
    <w:rsid w:val="008A4AFF"/>
    <w:rsid w:val="008A5FA7"/>
    <w:rsid w:val="008A68E7"/>
    <w:rsid w:val="008A7953"/>
    <w:rsid w:val="008B1828"/>
    <w:rsid w:val="008B3081"/>
    <w:rsid w:val="008B32D4"/>
    <w:rsid w:val="008C7AD0"/>
    <w:rsid w:val="008D0020"/>
    <w:rsid w:val="008D3C38"/>
    <w:rsid w:val="008D3C4B"/>
    <w:rsid w:val="008D6A05"/>
    <w:rsid w:val="008E2AE5"/>
    <w:rsid w:val="008E3CCE"/>
    <w:rsid w:val="008E3F89"/>
    <w:rsid w:val="008F26CB"/>
    <w:rsid w:val="008F36EC"/>
    <w:rsid w:val="008F3D95"/>
    <w:rsid w:val="008F6509"/>
    <w:rsid w:val="008F79D9"/>
    <w:rsid w:val="009027C8"/>
    <w:rsid w:val="00922D1B"/>
    <w:rsid w:val="0093467A"/>
    <w:rsid w:val="009353F1"/>
    <w:rsid w:val="0094155C"/>
    <w:rsid w:val="00951531"/>
    <w:rsid w:val="00953B29"/>
    <w:rsid w:val="00960A3B"/>
    <w:rsid w:val="0096375C"/>
    <w:rsid w:val="00967DE0"/>
    <w:rsid w:val="00971E07"/>
    <w:rsid w:val="00971E5F"/>
    <w:rsid w:val="00971F6D"/>
    <w:rsid w:val="009802D2"/>
    <w:rsid w:val="00980944"/>
    <w:rsid w:val="00986D77"/>
    <w:rsid w:val="00993A6E"/>
    <w:rsid w:val="009943EC"/>
    <w:rsid w:val="009A1BAD"/>
    <w:rsid w:val="009A32D5"/>
    <w:rsid w:val="009A5D37"/>
    <w:rsid w:val="009A6BD9"/>
    <w:rsid w:val="009B320F"/>
    <w:rsid w:val="009B6012"/>
    <w:rsid w:val="009C102D"/>
    <w:rsid w:val="009C2A4F"/>
    <w:rsid w:val="009D312C"/>
    <w:rsid w:val="009D4C59"/>
    <w:rsid w:val="009D7F91"/>
    <w:rsid w:val="009E20EF"/>
    <w:rsid w:val="009E26EE"/>
    <w:rsid w:val="009F1C7B"/>
    <w:rsid w:val="009F21A2"/>
    <w:rsid w:val="00A00D70"/>
    <w:rsid w:val="00A00DEE"/>
    <w:rsid w:val="00A27889"/>
    <w:rsid w:val="00A32FBF"/>
    <w:rsid w:val="00A407EA"/>
    <w:rsid w:val="00A51749"/>
    <w:rsid w:val="00A521B6"/>
    <w:rsid w:val="00A56962"/>
    <w:rsid w:val="00A6382F"/>
    <w:rsid w:val="00A6412C"/>
    <w:rsid w:val="00A75419"/>
    <w:rsid w:val="00A76661"/>
    <w:rsid w:val="00A76D2A"/>
    <w:rsid w:val="00A81F5B"/>
    <w:rsid w:val="00A82081"/>
    <w:rsid w:val="00A8557E"/>
    <w:rsid w:val="00A903E4"/>
    <w:rsid w:val="00A91181"/>
    <w:rsid w:val="00A935AC"/>
    <w:rsid w:val="00AA3DE0"/>
    <w:rsid w:val="00AB299E"/>
    <w:rsid w:val="00AB507C"/>
    <w:rsid w:val="00AB606E"/>
    <w:rsid w:val="00AC096E"/>
    <w:rsid w:val="00AD6E76"/>
    <w:rsid w:val="00AE3EAA"/>
    <w:rsid w:val="00AE5EDF"/>
    <w:rsid w:val="00AE758A"/>
    <w:rsid w:val="00B06261"/>
    <w:rsid w:val="00B108BA"/>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73FFA"/>
    <w:rsid w:val="00B74A6E"/>
    <w:rsid w:val="00B82CC4"/>
    <w:rsid w:val="00B838C3"/>
    <w:rsid w:val="00B874F1"/>
    <w:rsid w:val="00BC1DE7"/>
    <w:rsid w:val="00BC209E"/>
    <w:rsid w:val="00BC2C67"/>
    <w:rsid w:val="00BC54BC"/>
    <w:rsid w:val="00BC5AEE"/>
    <w:rsid w:val="00BD2A95"/>
    <w:rsid w:val="00BD2CA9"/>
    <w:rsid w:val="00BD6029"/>
    <w:rsid w:val="00BD75B0"/>
    <w:rsid w:val="00BE0541"/>
    <w:rsid w:val="00BE1ADB"/>
    <w:rsid w:val="00BE3152"/>
    <w:rsid w:val="00BF0693"/>
    <w:rsid w:val="00C028BC"/>
    <w:rsid w:val="00C070DE"/>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5BDB"/>
    <w:rsid w:val="00C66C95"/>
    <w:rsid w:val="00C6738C"/>
    <w:rsid w:val="00C71A3B"/>
    <w:rsid w:val="00C76CFA"/>
    <w:rsid w:val="00C819C8"/>
    <w:rsid w:val="00C8747B"/>
    <w:rsid w:val="00C87D5B"/>
    <w:rsid w:val="00C94FF6"/>
    <w:rsid w:val="00C963F8"/>
    <w:rsid w:val="00C96BB1"/>
    <w:rsid w:val="00CA2F80"/>
    <w:rsid w:val="00CA3ECF"/>
    <w:rsid w:val="00CB0C2A"/>
    <w:rsid w:val="00CB3B98"/>
    <w:rsid w:val="00CC4B2B"/>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D9D"/>
    <w:rsid w:val="00CF6B77"/>
    <w:rsid w:val="00D00018"/>
    <w:rsid w:val="00D01C50"/>
    <w:rsid w:val="00D11B24"/>
    <w:rsid w:val="00D11C18"/>
    <w:rsid w:val="00D133C8"/>
    <w:rsid w:val="00D14DB8"/>
    <w:rsid w:val="00D17339"/>
    <w:rsid w:val="00D244D5"/>
    <w:rsid w:val="00D2776A"/>
    <w:rsid w:val="00D4021B"/>
    <w:rsid w:val="00D413DB"/>
    <w:rsid w:val="00D420E2"/>
    <w:rsid w:val="00D4459D"/>
    <w:rsid w:val="00D44B24"/>
    <w:rsid w:val="00D573F9"/>
    <w:rsid w:val="00D60532"/>
    <w:rsid w:val="00D6058B"/>
    <w:rsid w:val="00D608E5"/>
    <w:rsid w:val="00D62D9E"/>
    <w:rsid w:val="00D63EC5"/>
    <w:rsid w:val="00D64BC3"/>
    <w:rsid w:val="00D72C05"/>
    <w:rsid w:val="00D73575"/>
    <w:rsid w:val="00D735BF"/>
    <w:rsid w:val="00D737B6"/>
    <w:rsid w:val="00D77672"/>
    <w:rsid w:val="00D80222"/>
    <w:rsid w:val="00D847CF"/>
    <w:rsid w:val="00D87489"/>
    <w:rsid w:val="00DA0A99"/>
    <w:rsid w:val="00DA0A9D"/>
    <w:rsid w:val="00DA54D4"/>
    <w:rsid w:val="00DA7603"/>
    <w:rsid w:val="00DA7E39"/>
    <w:rsid w:val="00DA7EDE"/>
    <w:rsid w:val="00DB0223"/>
    <w:rsid w:val="00DB047C"/>
    <w:rsid w:val="00DC0AB5"/>
    <w:rsid w:val="00DC3451"/>
    <w:rsid w:val="00DC50EB"/>
    <w:rsid w:val="00DC7F71"/>
    <w:rsid w:val="00DD19F4"/>
    <w:rsid w:val="00DD3FA0"/>
    <w:rsid w:val="00DE5B2D"/>
    <w:rsid w:val="00DE5C3E"/>
    <w:rsid w:val="00DE5CE9"/>
    <w:rsid w:val="00DF45BB"/>
    <w:rsid w:val="00E006DC"/>
    <w:rsid w:val="00E03064"/>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32CC"/>
    <w:rsid w:val="00E47FF2"/>
    <w:rsid w:val="00E50711"/>
    <w:rsid w:val="00E52522"/>
    <w:rsid w:val="00E531C9"/>
    <w:rsid w:val="00E60AD3"/>
    <w:rsid w:val="00E60EDA"/>
    <w:rsid w:val="00E62BBC"/>
    <w:rsid w:val="00E774F6"/>
    <w:rsid w:val="00E9503C"/>
    <w:rsid w:val="00E956D9"/>
    <w:rsid w:val="00EA1958"/>
    <w:rsid w:val="00EA29F5"/>
    <w:rsid w:val="00EA482D"/>
    <w:rsid w:val="00EB5FE6"/>
    <w:rsid w:val="00EB61A5"/>
    <w:rsid w:val="00EB6C1B"/>
    <w:rsid w:val="00EB7A09"/>
    <w:rsid w:val="00EC0EDC"/>
    <w:rsid w:val="00EC5AF4"/>
    <w:rsid w:val="00EC7E0B"/>
    <w:rsid w:val="00ED4508"/>
    <w:rsid w:val="00ED661C"/>
    <w:rsid w:val="00EE41B5"/>
    <w:rsid w:val="00EE66C9"/>
    <w:rsid w:val="00EF10DB"/>
    <w:rsid w:val="00EF11A9"/>
    <w:rsid w:val="00EF38E1"/>
    <w:rsid w:val="00EF749A"/>
    <w:rsid w:val="00EF771E"/>
    <w:rsid w:val="00F02565"/>
    <w:rsid w:val="00F026EC"/>
    <w:rsid w:val="00F05542"/>
    <w:rsid w:val="00F06855"/>
    <w:rsid w:val="00F17A2C"/>
    <w:rsid w:val="00F21A70"/>
    <w:rsid w:val="00F26708"/>
    <w:rsid w:val="00F30FF2"/>
    <w:rsid w:val="00F37F29"/>
    <w:rsid w:val="00F42243"/>
    <w:rsid w:val="00F45608"/>
    <w:rsid w:val="00F511EE"/>
    <w:rsid w:val="00F55574"/>
    <w:rsid w:val="00F558E7"/>
    <w:rsid w:val="00F62016"/>
    <w:rsid w:val="00F63F44"/>
    <w:rsid w:val="00F6401B"/>
    <w:rsid w:val="00F6746D"/>
    <w:rsid w:val="00F675D5"/>
    <w:rsid w:val="00F753D1"/>
    <w:rsid w:val="00F7766D"/>
    <w:rsid w:val="00F811CD"/>
    <w:rsid w:val="00F82D8F"/>
    <w:rsid w:val="00F83F62"/>
    <w:rsid w:val="00F907EB"/>
    <w:rsid w:val="00F9711D"/>
    <w:rsid w:val="00FA011F"/>
    <w:rsid w:val="00FA3E3A"/>
    <w:rsid w:val="00FA7544"/>
    <w:rsid w:val="00FA75E0"/>
    <w:rsid w:val="00FA7771"/>
    <w:rsid w:val="00FB0DC9"/>
    <w:rsid w:val="00FB20B1"/>
    <w:rsid w:val="00FB3AB4"/>
    <w:rsid w:val="00FB6188"/>
    <w:rsid w:val="00FC35EC"/>
    <w:rsid w:val="00FC56A4"/>
    <w:rsid w:val="00FD029A"/>
    <w:rsid w:val="00FD3D06"/>
    <w:rsid w:val="00FD5662"/>
    <w:rsid w:val="00FD72B6"/>
    <w:rsid w:val="00FE00AD"/>
    <w:rsid w:val="00FE206E"/>
    <w:rsid w:val="00FE421F"/>
    <w:rsid w:val="00FE499F"/>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1"/>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locked/>
    <w:rsid w:val="00971F6D"/>
    <w:rPr>
      <w:rFonts w:ascii="Courier New" w:eastAsia="Times New Roman" w:hAnsi="Courier New" w:cs="Courier New"/>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164&amp;digitoTst=92&amp;anoTst=2014&amp;orgaoTst=5&amp;tribunalTst=04&amp;varaTst=0662" TargetMode="External"/><Relationship Id="rId13" Type="http://schemas.openxmlformats.org/officeDocument/2006/relationships/hyperlink" Target="http://aplicacao4.tst.jus.br/consultaProcessual/consultaTstNumUnica.do?consulta=Consultar&amp;conscsjt=&amp;numeroTst=328&amp;digitoTst=55&amp;anoTst=2016&amp;orgaoTst=5&amp;tribunalTst=10&amp;varaTst=00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licacao4.tst.jus.br/consultaProcessual/consultaTstNumUnica.do?consulta=Consultar&amp;conscsjt=&amp;numeroTst=849&amp;digitoTst=83&amp;anoTst=2013&amp;orgaoTst=5&amp;tribunalTst=03&amp;varaTst=01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cao4.tst.jus.br/consultaProcessual/consultaTstNumUnica.do?consulta=Consultar&amp;conscsjt=&amp;numeroTst=3453300&amp;digitoTst=61&amp;anoTst=2008&amp;orgaoTst=5&amp;tribunalTst=09&amp;varaTst=00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licacao4.tst.jus.br/consultaProcessual/consultaTstNumUnica.do?consulta=Consultar&amp;conscsjt=&amp;numeroTst=12396&amp;digitoTst=27&amp;anoTst=2010&amp;orgaoTst=5&amp;tribunalTst=04&amp;varaTst=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1691900&amp;digitoTst=85&amp;anoTst=2009&amp;orgaoTst=5&amp;tribunalTst=09&amp;varaTst=000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F834-C656-4A97-9A0B-627E1642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11693</CharactersWithSpaces>
  <SharedDoc>false</SharedDoc>
  <HLinks>
    <vt:vector size="36" baseType="variant">
      <vt:variant>
        <vt:i4>6160384</vt:i4>
      </vt:variant>
      <vt:variant>
        <vt:i4>15</vt:i4>
      </vt:variant>
      <vt:variant>
        <vt:i4>0</vt:i4>
      </vt:variant>
      <vt:variant>
        <vt:i4>5</vt:i4>
      </vt:variant>
      <vt:variant>
        <vt:lpwstr>http://aplicacao4.tst.jus.br/consultaProcessual/consultaTstNumUnica.do?consulta=Consultar&amp;conscsjt=&amp;numeroTst=328&amp;digitoTst=55&amp;anoTst=2016&amp;orgaoTst=5&amp;tribunalTst=10&amp;varaTst=0004</vt:lpwstr>
      </vt:variant>
      <vt:variant>
        <vt:lpwstr/>
      </vt:variant>
      <vt:variant>
        <vt:i4>5963783</vt:i4>
      </vt:variant>
      <vt:variant>
        <vt:i4>12</vt:i4>
      </vt:variant>
      <vt:variant>
        <vt:i4>0</vt:i4>
      </vt:variant>
      <vt:variant>
        <vt:i4>5</vt:i4>
      </vt:variant>
      <vt:variant>
        <vt:lpwstr>http://aplicacao4.tst.jus.br/consultaProcessual/consultaTstNumUnica.do?consulta=Consultar&amp;conscsjt=&amp;numeroTst=849&amp;digitoTst=83&amp;anoTst=2013&amp;orgaoTst=5&amp;tribunalTst=03&amp;varaTst=0138</vt:lpwstr>
      </vt:variant>
      <vt:variant>
        <vt:lpwstr/>
      </vt:variant>
      <vt:variant>
        <vt:i4>5832717</vt:i4>
      </vt:variant>
      <vt:variant>
        <vt:i4>9</vt:i4>
      </vt:variant>
      <vt:variant>
        <vt:i4>0</vt:i4>
      </vt:variant>
      <vt:variant>
        <vt:i4>5</vt:i4>
      </vt:variant>
      <vt:variant>
        <vt:lpwstr>http://aplicacao4.tst.jus.br/consultaProcessual/consultaTstNumUnica.do?consulta=Consultar&amp;conscsjt=&amp;numeroTst=3453300&amp;digitoTst=61&amp;anoTst=2008&amp;orgaoTst=5&amp;tribunalTst=09&amp;varaTst=0013</vt:lpwstr>
      </vt:variant>
      <vt:variant>
        <vt:lpwstr/>
      </vt:variant>
      <vt:variant>
        <vt:i4>6750265</vt:i4>
      </vt:variant>
      <vt:variant>
        <vt:i4>6</vt:i4>
      </vt:variant>
      <vt:variant>
        <vt:i4>0</vt:i4>
      </vt:variant>
      <vt:variant>
        <vt:i4>5</vt:i4>
      </vt:variant>
      <vt:variant>
        <vt:lpwstr>http://aplicacao4.tst.jus.br/consultaProcessual/consultaTstNumUnica.do?consulta=Consultar&amp;conscsjt=&amp;numeroTst=12396&amp;digitoTst=27&amp;anoTst=2010&amp;orgaoTst=5&amp;tribunalTst=04&amp;varaTst=0000</vt:lpwstr>
      </vt:variant>
      <vt:variant>
        <vt:lpwstr/>
      </vt:variant>
      <vt:variant>
        <vt:i4>6094855</vt:i4>
      </vt:variant>
      <vt:variant>
        <vt:i4>3</vt:i4>
      </vt:variant>
      <vt:variant>
        <vt:i4>0</vt:i4>
      </vt:variant>
      <vt:variant>
        <vt:i4>5</vt:i4>
      </vt:variant>
      <vt:variant>
        <vt:lpwstr>http://aplicacao4.tst.jus.br/consultaProcessual/consultaTstNumUnica.do?consulta=Consultar&amp;conscsjt=&amp;numeroTst=1691900&amp;digitoTst=85&amp;anoTst=2009&amp;orgaoTst=5&amp;tribunalTst=09&amp;varaTst=0008</vt:lpwstr>
      </vt:variant>
      <vt:variant>
        <vt:lpwstr/>
      </vt:variant>
      <vt:variant>
        <vt:i4>6094853</vt:i4>
      </vt:variant>
      <vt:variant>
        <vt:i4>0</vt:i4>
      </vt:variant>
      <vt:variant>
        <vt:i4>0</vt:i4>
      </vt:variant>
      <vt:variant>
        <vt:i4>5</vt:i4>
      </vt:variant>
      <vt:variant>
        <vt:lpwstr>http://aplicacao4.tst.jus.br/consultaProcessual/consultaTstNumUnica.do?consulta=Consultar&amp;conscsjt=&amp;numeroTst=164&amp;digitoTst=92&amp;anoTst=2014&amp;orgaoTst=5&amp;tribunalTst=04&amp;varaTst=0662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2016-09-23T20:29:00Z</cp:lastPrinted>
  <dcterms:created xsi:type="dcterms:W3CDTF">2018-06-27T21:51:00Z</dcterms:created>
  <dcterms:modified xsi:type="dcterms:W3CDTF">2018-06-27T21:51:00Z</dcterms:modified>
</cp:coreProperties>
</file>