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F7499A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Este Informativo </w:t>
            </w:r>
            <w:r w:rsidR="00C26DFB" w:rsidRPr="00187A37">
              <w:rPr>
                <w:sz w:val="16"/>
                <w:szCs w:val="16"/>
              </w:rPr>
              <w:t>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="00C26DFB" w:rsidRPr="00187A37">
              <w:rPr>
                <w:sz w:val="16"/>
                <w:szCs w:val="16"/>
              </w:rPr>
              <w:t>oficiais de decisões proferidas pelo Tribunal</w:t>
            </w:r>
            <w:r>
              <w:rPr>
                <w:sz w:val="16"/>
                <w:szCs w:val="16"/>
              </w:rPr>
              <w:t xml:space="preserve"> em sede de execução trabalhista</w:t>
            </w:r>
            <w:r w:rsidR="00C26DFB" w:rsidRPr="00187A37">
              <w:rPr>
                <w:sz w:val="16"/>
                <w:szCs w:val="16"/>
              </w:rPr>
              <w:t>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="00C26DFB"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="00C26DFB" w:rsidRPr="00187A37">
              <w:rPr>
                <w:sz w:val="16"/>
                <w:szCs w:val="16"/>
              </w:rPr>
              <w:t>.</w:t>
            </w:r>
          </w:p>
        </w:tc>
      </w:tr>
    </w:tbl>
    <w:p w:rsidR="00E41702" w:rsidRPr="000E0B8C" w:rsidRDefault="00E41702" w:rsidP="005460BD">
      <w:pPr>
        <w:ind w:right="-71"/>
        <w:jc w:val="both"/>
        <w:rPr>
          <w:b/>
          <w:i/>
        </w:rPr>
      </w:pPr>
    </w:p>
    <w:p w:rsidR="00E73DEC" w:rsidRPr="00971E07" w:rsidRDefault="00F768EF" w:rsidP="00E73DE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 w:rsidR="00E73DEC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="00E73DEC"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 w:rsidR="00E73DEC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434655" w:rsidRPr="00E73DEC" w:rsidRDefault="00434655">
      <w:pPr>
        <w:jc w:val="both"/>
        <w:rPr>
          <w:u w:val="single"/>
        </w:rPr>
      </w:pPr>
    </w:p>
    <w:p w:rsidR="00F768EF" w:rsidRPr="008571DB" w:rsidRDefault="00F768EF" w:rsidP="00F768EF">
      <w:pPr>
        <w:jc w:val="both"/>
        <w:rPr>
          <w:b/>
          <w:i/>
          <w:sz w:val="24"/>
          <w:szCs w:val="24"/>
        </w:rPr>
      </w:pPr>
      <w:r w:rsidRPr="008571DB">
        <w:rPr>
          <w:b/>
          <w:i/>
          <w:sz w:val="24"/>
          <w:szCs w:val="24"/>
        </w:rPr>
        <w:t>Penhora de bem imóvel</w:t>
      </w:r>
      <w:r>
        <w:rPr>
          <w:b/>
          <w:i/>
          <w:sz w:val="24"/>
          <w:szCs w:val="24"/>
        </w:rPr>
        <w:t>. A</w:t>
      </w:r>
      <w:r w:rsidRPr="008571DB">
        <w:rPr>
          <w:b/>
          <w:i/>
          <w:sz w:val="24"/>
          <w:szCs w:val="24"/>
        </w:rPr>
        <w:t xml:space="preserve">rrematação. </w:t>
      </w:r>
      <w:r>
        <w:rPr>
          <w:b/>
          <w:i/>
          <w:sz w:val="24"/>
          <w:szCs w:val="24"/>
        </w:rPr>
        <w:t>Posterior c</w:t>
      </w:r>
      <w:r w:rsidRPr="008571DB">
        <w:rPr>
          <w:b/>
          <w:i/>
          <w:sz w:val="24"/>
          <w:szCs w:val="24"/>
        </w:rPr>
        <w:t>onstatação judicial de erro nos cálculos</w:t>
      </w:r>
      <w:r>
        <w:rPr>
          <w:b/>
          <w:i/>
          <w:sz w:val="24"/>
          <w:szCs w:val="24"/>
        </w:rPr>
        <w:t xml:space="preserve"> homologados</w:t>
      </w:r>
      <w:r w:rsidRPr="008571DB">
        <w:rPr>
          <w:b/>
          <w:i/>
          <w:sz w:val="24"/>
          <w:szCs w:val="24"/>
        </w:rPr>
        <w:t>. Nulidade de todos os atos executivos e expropriatórios fundados nos cálculos incorretos. Excesso de execução.</w:t>
      </w:r>
      <w:r>
        <w:rPr>
          <w:b/>
          <w:i/>
          <w:sz w:val="24"/>
          <w:szCs w:val="24"/>
        </w:rPr>
        <w:t xml:space="preserve"> </w:t>
      </w:r>
      <w:r w:rsidRPr="008571DB">
        <w:rPr>
          <w:b/>
          <w:i/>
          <w:sz w:val="24"/>
          <w:szCs w:val="24"/>
        </w:rPr>
        <w:t xml:space="preserve">Prejuízo ao executado. Título inexigível. </w:t>
      </w:r>
      <w:r>
        <w:rPr>
          <w:b/>
          <w:i/>
          <w:sz w:val="24"/>
          <w:szCs w:val="24"/>
        </w:rPr>
        <w:t>Ausência de</w:t>
      </w:r>
      <w:r w:rsidRPr="008571DB">
        <w:rPr>
          <w:b/>
          <w:i/>
          <w:sz w:val="24"/>
          <w:szCs w:val="24"/>
        </w:rPr>
        <w:t xml:space="preserve"> coisa julgada.      </w:t>
      </w:r>
    </w:p>
    <w:p w:rsidR="00F768EF" w:rsidRDefault="00F768EF" w:rsidP="00F768EF">
      <w:pPr>
        <w:jc w:val="both"/>
        <w:rPr>
          <w:sz w:val="24"/>
          <w:szCs w:val="24"/>
        </w:rPr>
      </w:pPr>
      <w:r w:rsidRPr="008571DB">
        <w:rPr>
          <w:sz w:val="24"/>
          <w:szCs w:val="24"/>
        </w:rPr>
        <w:t>A certeza, liquidez e exigibilidade do título executivo são pressupostos de validade da execução. Nesse sentido, erro de liquidação que aumenta sensivelmente o valor devido torna inexigível o título executivo judicial e a execução nele pautada é nula</w:t>
      </w:r>
      <w:r>
        <w:rPr>
          <w:sz w:val="24"/>
          <w:szCs w:val="24"/>
        </w:rPr>
        <w:t>, nos termos da lei</w:t>
      </w:r>
      <w:r w:rsidRPr="008571DB">
        <w:rPr>
          <w:sz w:val="24"/>
          <w:szCs w:val="24"/>
        </w:rPr>
        <w:t xml:space="preserve">. Na hipótese, </w:t>
      </w:r>
      <w:r>
        <w:rPr>
          <w:sz w:val="24"/>
          <w:szCs w:val="24"/>
        </w:rPr>
        <w:t>p</w:t>
      </w:r>
      <w:r w:rsidRPr="008571DB">
        <w:rPr>
          <w:sz w:val="24"/>
          <w:szCs w:val="24"/>
        </w:rPr>
        <w:t>osteriormente à arrematação d</w:t>
      </w:r>
      <w:r>
        <w:rPr>
          <w:sz w:val="24"/>
          <w:szCs w:val="24"/>
        </w:rPr>
        <w:t>e bem</w:t>
      </w:r>
      <w:r w:rsidRPr="008571DB">
        <w:rPr>
          <w:sz w:val="24"/>
          <w:szCs w:val="24"/>
        </w:rPr>
        <w:t xml:space="preserve"> imóvel em hasta pública, o juízo verificou a ocorrência de erro nos cálculos</w:t>
      </w:r>
      <w:r>
        <w:rPr>
          <w:sz w:val="24"/>
          <w:szCs w:val="24"/>
        </w:rPr>
        <w:t xml:space="preserve"> homologados, razão pela qual </w:t>
      </w:r>
      <w:r w:rsidRPr="008571DB">
        <w:rPr>
          <w:sz w:val="24"/>
          <w:szCs w:val="24"/>
        </w:rPr>
        <w:t xml:space="preserve">procedeu </w:t>
      </w:r>
      <w:r>
        <w:rPr>
          <w:sz w:val="24"/>
          <w:szCs w:val="24"/>
        </w:rPr>
        <w:t>à</w:t>
      </w:r>
      <w:r w:rsidRPr="008571DB">
        <w:rPr>
          <w:sz w:val="24"/>
          <w:szCs w:val="24"/>
        </w:rPr>
        <w:t xml:space="preserve"> nova liquidação que apurou valores sensivelmente menores</w:t>
      </w:r>
      <w:r>
        <w:rPr>
          <w:sz w:val="24"/>
          <w:szCs w:val="24"/>
        </w:rPr>
        <w:t xml:space="preserve"> do que o efetivamente exigível. Não obstante tal constatação, </w:t>
      </w:r>
      <w:r w:rsidRPr="008571DB">
        <w:rPr>
          <w:sz w:val="24"/>
          <w:szCs w:val="24"/>
        </w:rPr>
        <w:t>convalid</w:t>
      </w:r>
      <w:r>
        <w:rPr>
          <w:sz w:val="24"/>
          <w:szCs w:val="24"/>
        </w:rPr>
        <w:t>ou</w:t>
      </w:r>
      <w:r w:rsidRPr="008571DB">
        <w:rPr>
          <w:sz w:val="24"/>
          <w:szCs w:val="24"/>
        </w:rPr>
        <w:t xml:space="preserve"> os atos expropriatórios já praticados</w:t>
      </w:r>
      <w:r>
        <w:rPr>
          <w:sz w:val="24"/>
          <w:szCs w:val="24"/>
        </w:rPr>
        <w:t xml:space="preserve">, causando </w:t>
      </w:r>
      <w:r w:rsidRPr="008571DB">
        <w:rPr>
          <w:sz w:val="24"/>
          <w:szCs w:val="24"/>
        </w:rPr>
        <w:t>prejuízo ao executado, que não p</w:t>
      </w:r>
      <w:r>
        <w:rPr>
          <w:sz w:val="24"/>
          <w:szCs w:val="24"/>
        </w:rPr>
        <w:t>o</w:t>
      </w:r>
      <w:r w:rsidRPr="008571DB">
        <w:rPr>
          <w:sz w:val="24"/>
          <w:szCs w:val="24"/>
        </w:rPr>
        <w:t xml:space="preserve">de substituir o bem arrematado por outro compatível com o cálculo refeito. </w:t>
      </w:r>
      <w:r>
        <w:rPr>
          <w:sz w:val="24"/>
          <w:szCs w:val="24"/>
        </w:rPr>
        <w:t>Ressalte-se, ademais, que o excesso de execução decorrente do cálculo equivocadamente homologado não estava acobertado pela coisa julgada que se formou na ação trabalhista, de modo que a parcela excedente apresentava-se como pedido sem título executivo, o que também torna nula a execução. Sob</w:t>
      </w:r>
      <w:r w:rsidRPr="008571DB">
        <w:rPr>
          <w:sz w:val="24"/>
          <w:szCs w:val="24"/>
        </w:rPr>
        <w:t xml:space="preserve"> esses fundamentos, a SBDI-II, por unanimidade</w:t>
      </w:r>
      <w:r>
        <w:rPr>
          <w:sz w:val="24"/>
          <w:szCs w:val="24"/>
        </w:rPr>
        <w:t xml:space="preserve">, conheceu do recurso ordinário, </w:t>
      </w:r>
      <w:r w:rsidRPr="008571DB">
        <w:rPr>
          <w:sz w:val="24"/>
          <w:szCs w:val="24"/>
        </w:rPr>
        <w:t>e, no mérito, deu-lhe provimento para</w:t>
      </w:r>
      <w:r>
        <w:rPr>
          <w:sz w:val="24"/>
          <w:szCs w:val="24"/>
        </w:rPr>
        <w:t xml:space="preserve"> conceder o mandado de segurança e</w:t>
      </w:r>
      <w:r w:rsidRPr="008571DB">
        <w:rPr>
          <w:sz w:val="24"/>
          <w:szCs w:val="24"/>
        </w:rPr>
        <w:t xml:space="preserve"> determinar a anulação de todos os atos constritivos e executórios anteriores à decisão que fixou o</w:t>
      </w:r>
      <w:r>
        <w:rPr>
          <w:sz w:val="24"/>
          <w:szCs w:val="24"/>
        </w:rPr>
        <w:t xml:space="preserve"> novo</w:t>
      </w:r>
      <w:r w:rsidRPr="008571DB">
        <w:rPr>
          <w:sz w:val="24"/>
          <w:szCs w:val="24"/>
        </w:rPr>
        <w:t xml:space="preserve"> </w:t>
      </w:r>
      <w:r w:rsidRPr="008571DB">
        <w:rPr>
          <w:i/>
          <w:sz w:val="24"/>
          <w:szCs w:val="24"/>
        </w:rPr>
        <w:t>quantum debeatur</w:t>
      </w:r>
      <w:r>
        <w:rPr>
          <w:sz w:val="24"/>
          <w:szCs w:val="24"/>
        </w:rPr>
        <w:t xml:space="preserve">. </w:t>
      </w:r>
      <w:hyperlink r:id="rId8" w:history="1">
        <w:r w:rsidRPr="000632E4">
          <w:rPr>
            <w:rStyle w:val="Hyperlink"/>
            <w:rFonts w:cs="Courier New"/>
            <w:sz w:val="24"/>
            <w:szCs w:val="24"/>
          </w:rPr>
          <w:t>TST-RO-10126-09.2013.5.01.0000</w:t>
        </w:r>
      </w:hyperlink>
      <w:r w:rsidRPr="008571DB">
        <w:rPr>
          <w:rFonts w:cs="Courier New"/>
          <w:color w:val="000000"/>
          <w:sz w:val="24"/>
          <w:szCs w:val="24"/>
          <w:u w:val="single"/>
        </w:rPr>
        <w:t>, SBDI-II, rel. Luiz Philippe Vieira de Mello Filho, 15.12.2015</w:t>
      </w:r>
    </w:p>
    <w:p w:rsidR="00F768EF" w:rsidRPr="000632E4" w:rsidRDefault="00F768EF" w:rsidP="00F768EF">
      <w:pPr>
        <w:jc w:val="both"/>
      </w:pPr>
    </w:p>
    <w:p w:rsidR="00F768EF" w:rsidRDefault="00F768EF" w:rsidP="00F768EF">
      <w:pPr>
        <w:jc w:val="both"/>
        <w:rPr>
          <w:b/>
          <w:i/>
          <w:sz w:val="24"/>
        </w:rPr>
      </w:pPr>
      <w:r>
        <w:rPr>
          <w:b/>
          <w:i/>
          <w:sz w:val="24"/>
        </w:rPr>
        <w:t>Fundação Padre Anchieta. Natureza pública. Execução pelo regime de precatórios. Possibilidade.</w:t>
      </w:r>
    </w:p>
    <w:p w:rsidR="00F768EF" w:rsidRDefault="00F768EF" w:rsidP="00F768EF">
      <w:pPr>
        <w:jc w:val="both"/>
        <w:rPr>
          <w:sz w:val="24"/>
        </w:rPr>
      </w:pPr>
      <w:r>
        <w:rPr>
          <w:sz w:val="24"/>
          <w:szCs w:val="24"/>
        </w:rPr>
        <w:t xml:space="preserve">A despeito de a </w:t>
      </w:r>
      <w:r w:rsidRPr="002A38C3">
        <w:rPr>
          <w:sz w:val="24"/>
          <w:szCs w:val="24"/>
        </w:rPr>
        <w:t>Fundação Padre Anchieta</w:t>
      </w:r>
      <w:r>
        <w:rPr>
          <w:sz w:val="24"/>
          <w:szCs w:val="24"/>
        </w:rPr>
        <w:t xml:space="preserve"> ser constituída, formalmente,</w:t>
      </w:r>
      <w:r w:rsidRPr="002A3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como </w:t>
      </w:r>
      <w:r w:rsidRPr="002A38C3">
        <w:rPr>
          <w:sz w:val="24"/>
          <w:szCs w:val="24"/>
        </w:rPr>
        <w:t>pessoa jurí</w:t>
      </w:r>
      <w:r>
        <w:rPr>
          <w:sz w:val="24"/>
          <w:szCs w:val="24"/>
        </w:rPr>
        <w:t xml:space="preserve">dica de direito privado, ela exerce </w:t>
      </w:r>
      <w:r>
        <w:rPr>
          <w:i/>
          <w:sz w:val="24"/>
          <w:szCs w:val="24"/>
        </w:rPr>
        <w:t>múnus público,</w:t>
      </w:r>
      <w:r>
        <w:rPr>
          <w:sz w:val="24"/>
          <w:szCs w:val="24"/>
        </w:rPr>
        <w:t xml:space="preserve"> pois possui como finalidade exclusiva a promoção de atividades educativas e culturais</w:t>
      </w:r>
      <w:r w:rsidRPr="00606C3A">
        <w:rPr>
          <w:sz w:val="24"/>
        </w:rPr>
        <w:t xml:space="preserve"> </w:t>
      </w:r>
      <w:r>
        <w:rPr>
          <w:sz w:val="24"/>
        </w:rPr>
        <w:t>por meio de rádio, televisão e outras mídias, em atendimento ao comando do art. 23, V, da CF.</w:t>
      </w:r>
      <w:r>
        <w:rPr>
          <w:sz w:val="24"/>
          <w:szCs w:val="24"/>
        </w:rPr>
        <w:t xml:space="preserve"> Além disso, para sua criação e manutenção, percebeu e continua a perceber dotações, subvenções e contribuições do Estado</w:t>
      </w:r>
      <w:r w:rsidRPr="002A38C3">
        <w:rPr>
          <w:sz w:val="24"/>
          <w:szCs w:val="24"/>
        </w:rPr>
        <w:t xml:space="preserve"> de São Paulo</w:t>
      </w:r>
      <w:r>
        <w:rPr>
          <w:sz w:val="24"/>
          <w:szCs w:val="24"/>
        </w:rPr>
        <w:t xml:space="preserve"> (arts. 3º e 28, I e IV, de seu Estatuto). Assim, patente a natureza pública da Fundação, a ela se aplicam as prerrogativas processuais da </w:t>
      </w:r>
      <w:r w:rsidR="00FC39C3">
        <w:rPr>
          <w:sz w:val="24"/>
          <w:szCs w:val="24"/>
        </w:rPr>
        <w:t>Fazenda P</w:t>
      </w:r>
      <w:r>
        <w:rPr>
          <w:sz w:val="24"/>
          <w:szCs w:val="24"/>
        </w:rPr>
        <w:t>ública no que tange à execução, devendo o pagamento de valores decorrentes de condenação judicial seguir o regime de precatórios, nos termos do art. 730 do CPC e do art. 100 da CF.</w:t>
      </w:r>
      <w:r>
        <w:rPr>
          <w:sz w:val="24"/>
        </w:rPr>
        <w:t xml:space="preserve"> Sob esses fundamentos, a SBDI-II, por unanimidade, conheceu do recurso ordinário interposto pela referida Fundação, e, no mérito, deu-lhe provimento para conceder a segurança, determinando que a execução se proceda mediante o rito dos precatórios, afastando, assim, a execução direta. </w:t>
      </w:r>
      <w:hyperlink r:id="rId9" w:history="1">
        <w:r w:rsidRPr="000632E4">
          <w:rPr>
            <w:rStyle w:val="Hyperlink"/>
            <w:sz w:val="24"/>
          </w:rPr>
          <w:t>TST-RO-1000552-78.2014.5.02.0000</w:t>
        </w:r>
      </w:hyperlink>
      <w:r w:rsidRPr="00DF0096">
        <w:rPr>
          <w:sz w:val="24"/>
          <w:u w:val="single"/>
        </w:rPr>
        <w:t>, SBDI-</w:t>
      </w:r>
      <w:r>
        <w:rPr>
          <w:sz w:val="24"/>
          <w:u w:val="single"/>
        </w:rPr>
        <w:t>II</w:t>
      </w:r>
      <w:r w:rsidRPr="00DF0096">
        <w:rPr>
          <w:sz w:val="24"/>
          <w:u w:val="single"/>
        </w:rPr>
        <w:t>, rel. Min. Emmanoel Pereira, 15.12.2015</w:t>
      </w:r>
    </w:p>
    <w:p w:rsidR="00F768EF" w:rsidRPr="000632E4" w:rsidRDefault="00F768EF" w:rsidP="00E73DEC">
      <w:pPr>
        <w:jc w:val="both"/>
        <w:rPr>
          <w:b/>
          <w:i/>
        </w:rPr>
      </w:pPr>
    </w:p>
    <w:p w:rsidR="00F768EF" w:rsidRPr="005C2629" w:rsidRDefault="00F768EF" w:rsidP="00F768E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</w:t>
      </w:r>
      <w:r w:rsidRPr="006D1788">
        <w:rPr>
          <w:b/>
          <w:i/>
          <w:sz w:val="24"/>
          <w:szCs w:val="24"/>
        </w:rPr>
        <w:t xml:space="preserve">andado de segurança. </w:t>
      </w:r>
      <w:r>
        <w:rPr>
          <w:b/>
          <w:i/>
          <w:sz w:val="24"/>
          <w:szCs w:val="24"/>
        </w:rPr>
        <w:t>E</w:t>
      </w:r>
      <w:r w:rsidRPr="006D1788">
        <w:rPr>
          <w:b/>
          <w:i/>
          <w:sz w:val="24"/>
          <w:szCs w:val="24"/>
        </w:rPr>
        <w:t xml:space="preserve">xecução. </w:t>
      </w:r>
      <w:r>
        <w:rPr>
          <w:b/>
          <w:i/>
          <w:sz w:val="24"/>
          <w:szCs w:val="24"/>
        </w:rPr>
        <w:t>P</w:t>
      </w:r>
      <w:r w:rsidRPr="006D1788">
        <w:rPr>
          <w:b/>
          <w:i/>
          <w:sz w:val="24"/>
          <w:szCs w:val="24"/>
        </w:rPr>
        <w:t>enhora do depósito recursa</w:t>
      </w:r>
      <w:r>
        <w:rPr>
          <w:b/>
          <w:i/>
          <w:sz w:val="24"/>
          <w:szCs w:val="24"/>
        </w:rPr>
        <w:t>l. Transferência</w:t>
      </w:r>
      <w:r w:rsidRPr="006D1788">
        <w:rPr>
          <w:b/>
          <w:i/>
          <w:sz w:val="24"/>
          <w:szCs w:val="24"/>
        </w:rPr>
        <w:t xml:space="preserve"> para saldar e</w:t>
      </w:r>
      <w:r>
        <w:rPr>
          <w:b/>
          <w:i/>
          <w:sz w:val="24"/>
          <w:szCs w:val="24"/>
        </w:rPr>
        <w:t>xecução em outro feito. L</w:t>
      </w:r>
      <w:r w:rsidRPr="006D1788">
        <w:rPr>
          <w:b/>
          <w:i/>
          <w:sz w:val="24"/>
          <w:szCs w:val="24"/>
        </w:rPr>
        <w:t>egalidade.</w:t>
      </w:r>
      <w:r w:rsidRPr="005C2629">
        <w:rPr>
          <w:b/>
          <w:i/>
          <w:sz w:val="24"/>
          <w:szCs w:val="24"/>
        </w:rPr>
        <w:t xml:space="preserve"> </w:t>
      </w:r>
    </w:p>
    <w:p w:rsidR="00F768EF" w:rsidRPr="001911A5" w:rsidRDefault="00F768EF" w:rsidP="00F768EF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 w:rsidRPr="005C2629">
        <w:rPr>
          <w:rFonts w:ascii="Times New Roman" w:eastAsia="Calibri" w:hAnsi="Times New Roman" w:cs="Times New Roman"/>
          <w:color w:val="auto"/>
          <w:lang w:val="pt-BR" w:eastAsia="en-US"/>
        </w:rPr>
        <w:t xml:space="preserve">Não se reveste de ilegalidade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o </w:t>
      </w:r>
      <w:r w:rsidRPr="005C2629">
        <w:rPr>
          <w:rFonts w:ascii="Times New Roman" w:eastAsia="Calibri" w:hAnsi="Times New Roman" w:cs="Times New Roman"/>
          <w:color w:val="auto"/>
          <w:lang w:val="pt-BR" w:eastAsia="en-US"/>
        </w:rPr>
        <w:t xml:space="preserve">ato judicial que, atendendo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à </w:t>
      </w:r>
      <w:r w:rsidRPr="005C2629">
        <w:rPr>
          <w:rFonts w:ascii="Times New Roman" w:eastAsia="Calibri" w:hAnsi="Times New Roman" w:cs="Times New Roman"/>
          <w:color w:val="auto"/>
          <w:lang w:val="pt-BR" w:eastAsia="en-US"/>
        </w:rPr>
        <w:t>solicitação de registro de penhora no rosto dos autos,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5C2629">
        <w:rPr>
          <w:rFonts w:ascii="Times New Roman" w:eastAsia="Calibri" w:hAnsi="Times New Roman" w:cs="Times New Roman"/>
          <w:color w:val="auto"/>
          <w:lang w:val="pt-BR" w:eastAsia="en-US"/>
        </w:rPr>
        <w:t xml:space="preserve">determina a transferência do depósito recursal para prover execução em outro </w:t>
      </w:r>
      <w:r w:rsidRPr="005C2629">
        <w:rPr>
          <w:rFonts w:ascii="Times New Roman" w:eastAsia="Calibri" w:hAnsi="Times New Roman" w:cs="Times New Roman"/>
          <w:color w:val="auto"/>
          <w:lang w:val="pt-BR" w:eastAsia="en-US"/>
        </w:rPr>
        <w:lastRenderedPageBreak/>
        <w:t xml:space="preserve">processo em que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a </w:t>
      </w:r>
      <w:r w:rsidRPr="005C2629">
        <w:rPr>
          <w:rFonts w:ascii="Times New Roman" w:eastAsia="Calibri" w:hAnsi="Times New Roman" w:cs="Times New Roman"/>
          <w:color w:val="auto"/>
          <w:lang w:val="pt-BR" w:eastAsia="en-US"/>
        </w:rPr>
        <w:t>ora recorrente figura como executada. No caso, o T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RT</w:t>
      </w:r>
      <w:r w:rsidRPr="005C2629">
        <w:rPr>
          <w:rFonts w:ascii="Times New Roman" w:eastAsia="Calibri" w:hAnsi="Times New Roman" w:cs="Times New Roman"/>
          <w:color w:val="auto"/>
          <w:lang w:val="pt-BR" w:eastAsia="en-US"/>
        </w:rPr>
        <w:t xml:space="preserve"> denegou a segurança pleiteada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por entender que o j</w:t>
      </w:r>
      <w:r w:rsidRPr="005C2629">
        <w:rPr>
          <w:rFonts w:ascii="Times New Roman" w:eastAsia="Calibri" w:hAnsi="Times New Roman" w:cs="Times New Roman"/>
          <w:color w:val="auto"/>
          <w:lang w:val="pt-BR" w:eastAsia="en-US"/>
        </w:rPr>
        <w:t xml:space="preserve">uízo originário se atentou para que a execução da dívida relativa ao outro processo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observasse os princípios da execução menos gravosa e da economia e celeridade processuais, assegurando, portanto, efetividade à execução e à coisa julgada. Assim, </w:t>
      </w:r>
      <w:r w:rsidRPr="005C2629">
        <w:rPr>
          <w:rFonts w:ascii="Times New Roman" w:eastAsia="Calibri" w:hAnsi="Times New Roman" w:cs="Times New Roman"/>
          <w:color w:val="auto"/>
          <w:lang w:val="pt-BR" w:eastAsia="en-US"/>
        </w:rPr>
        <w:t>não se configurando qualquer abuso de poder ou ilegalidade no ato judicial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 w:rsidRPr="005C2629">
        <w:rPr>
          <w:rFonts w:ascii="Times New Roman" w:eastAsia="Calibri" w:hAnsi="Times New Roman" w:cs="Times New Roman"/>
          <w:color w:val="auto"/>
          <w:lang w:val="pt-BR" w:eastAsia="en-US"/>
        </w:rPr>
        <w:t xml:space="preserve"> e não havendo direito líquido e certo a ser tutelado pela via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mandamental, a SBDI-II</w:t>
      </w:r>
      <w:r w:rsidRPr="005C2629">
        <w:rPr>
          <w:rFonts w:ascii="Times New Roman" w:eastAsia="Calibri" w:hAnsi="Times New Roman" w:cs="Times New Roman"/>
          <w:color w:val="auto"/>
          <w:lang w:val="pt-BR" w:eastAsia="en-US"/>
        </w:rPr>
        <w:t>, por unanimidade, conheceu do recurso ordinário e, no mérito, negou-lhe provimento.</w:t>
      </w:r>
      <w:r w:rsidRPr="00FB7C2C">
        <w:rPr>
          <w:rFonts w:ascii="Times New Roman" w:hAnsi="Times New Roman"/>
          <w:lang w:val="pt-BR"/>
        </w:rPr>
        <w:t xml:space="preserve"> </w:t>
      </w:r>
      <w:hyperlink r:id="rId10" w:history="1">
        <w:r w:rsidRPr="000632E4">
          <w:rPr>
            <w:rStyle w:val="Hyperlink"/>
            <w:rFonts w:ascii="Times New Roman" w:hAnsi="Times New Roman" w:cs="Courier New"/>
            <w:lang w:val="pt-BR"/>
          </w:rPr>
          <w:t>TST-RO-1000989-22.2014.5.02.0000</w:t>
        </w:r>
      </w:hyperlink>
      <w:r w:rsidRPr="00ED6EB0">
        <w:rPr>
          <w:rFonts w:ascii="Times New Roman" w:hAnsi="Times New Roman"/>
          <w:u w:val="single"/>
          <w:lang w:val="pt-BR"/>
        </w:rPr>
        <w:t xml:space="preserve">, SBDI-II, rel. </w:t>
      </w:r>
      <w:r w:rsidRPr="001911A5">
        <w:rPr>
          <w:rFonts w:ascii="Times New Roman" w:hAnsi="Times New Roman"/>
          <w:u w:val="single"/>
          <w:lang w:val="pt-BR"/>
        </w:rPr>
        <w:t>Min. Alberto Luiz Bresciani de Fontan Pereira, 15.12.2015</w:t>
      </w:r>
    </w:p>
    <w:p w:rsidR="00F768EF" w:rsidRDefault="00F768EF" w:rsidP="00E73DEC">
      <w:pPr>
        <w:jc w:val="both"/>
        <w:rPr>
          <w:b/>
          <w:i/>
          <w:sz w:val="24"/>
          <w:szCs w:val="24"/>
        </w:rPr>
      </w:pPr>
    </w:p>
    <w:p w:rsidR="00F768EF" w:rsidRDefault="00F768EF" w:rsidP="00E73DEC">
      <w:pPr>
        <w:jc w:val="both"/>
        <w:rPr>
          <w:b/>
          <w:i/>
          <w:sz w:val="24"/>
          <w:szCs w:val="24"/>
        </w:rPr>
      </w:pPr>
    </w:p>
    <w:p w:rsidR="00E73DEC" w:rsidRDefault="00E73DEC" w:rsidP="00E73DEC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E73DEC" w:rsidRDefault="00E73DEC" w:rsidP="00E73DEC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434655" w:rsidRPr="005D1DE4" w:rsidRDefault="00434655">
      <w:pPr>
        <w:jc w:val="both"/>
        <w:rPr>
          <w:sz w:val="22"/>
          <w:szCs w:val="22"/>
          <w:u w:val="single"/>
        </w:rPr>
      </w:pPr>
    </w:p>
    <w:p w:rsidR="00F7499A" w:rsidRDefault="00184590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</w:t>
      </w:r>
      <w:r w:rsidR="005E1A86" w:rsidRPr="005E1A86">
        <w:rPr>
          <w:b w:val="0"/>
          <w:bCs w:val="0"/>
          <w:snapToGrid w:val="0"/>
          <w:sz w:val="20"/>
          <w:szCs w:val="20"/>
        </w:rPr>
        <w:t>Execução</w:t>
      </w:r>
      <w:r w:rsidR="005E1A86">
        <w:rPr>
          <w:b w:val="0"/>
          <w:bCs w:val="0"/>
          <w:snapToGrid w:val="0"/>
          <w:sz w:val="20"/>
          <w:szCs w:val="20"/>
        </w:rPr>
        <w:t xml:space="preserve"> </w:t>
      </w:r>
      <w:r w:rsidRPr="005D1DE4">
        <w:rPr>
          <w:b w:val="0"/>
          <w:bCs w:val="0"/>
          <w:snapToGrid w:val="0"/>
          <w:sz w:val="20"/>
          <w:szCs w:val="20"/>
        </w:rPr>
        <w:t>é</w:t>
      </w:r>
      <w:r w:rsidR="00F7499A">
        <w:rPr>
          <w:b w:val="0"/>
          <w:bCs w:val="0"/>
          <w:snapToGrid w:val="0"/>
          <w:sz w:val="20"/>
          <w:szCs w:val="20"/>
        </w:rPr>
        <w:t xml:space="preserve"> uma iniciativa da </w:t>
      </w:r>
    </w:p>
    <w:p w:rsidR="00F7499A" w:rsidRDefault="00F7499A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Comissão Nacional de Efetividade de Execução Trabalhista,</w:t>
      </w:r>
      <w:r w:rsidR="00184590" w:rsidRPr="005D1DE4">
        <w:rPr>
          <w:b w:val="0"/>
          <w:bCs w:val="0"/>
          <w:snapToGrid w:val="0"/>
          <w:sz w:val="20"/>
          <w:szCs w:val="20"/>
        </w:rPr>
        <w:t xml:space="preserve"> </w:t>
      </w:r>
    </w:p>
    <w:p w:rsidR="00184590" w:rsidRPr="005D1DE4" w:rsidRDefault="00184590" w:rsidP="00F7499A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mantido pela Coordenadoria de Jurisprudência – CJUR</w:t>
      </w:r>
    </w:p>
    <w:p w:rsidR="00184590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84" w:rsidRDefault="009A7184">
      <w:r>
        <w:separator/>
      </w:r>
    </w:p>
  </w:endnote>
  <w:endnote w:type="continuationSeparator" w:id="0">
    <w:p w:rsidR="009A7184" w:rsidRDefault="009A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582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6D5828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84" w:rsidRDefault="009A7184">
      <w:r>
        <w:separator/>
      </w:r>
    </w:p>
  </w:footnote>
  <w:footnote w:type="continuationSeparator" w:id="0">
    <w:p w:rsidR="009A7184" w:rsidRDefault="009A7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>Informativo TST</w:t>
    </w:r>
    <w:r w:rsidR="00072A6F">
      <w:rPr>
        <w:shadow/>
        <w:sz w:val="24"/>
        <w:szCs w:val="24"/>
      </w:rPr>
      <w:t xml:space="preserve"> Execução</w:t>
    </w:r>
    <w:r w:rsidRPr="00971E07">
      <w:rPr>
        <w:shadow/>
        <w:sz w:val="24"/>
        <w:szCs w:val="24"/>
      </w:rPr>
      <w:t xml:space="preserve">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C20DC8">
      <w:rPr>
        <w:shadow/>
        <w:sz w:val="24"/>
        <w:szCs w:val="24"/>
      </w:rPr>
      <w:t>2</w:t>
    </w:r>
    <w:r w:rsidR="00F768EF">
      <w:rPr>
        <w:shadow/>
        <w:sz w:val="24"/>
        <w:szCs w:val="24"/>
      </w:rPr>
      <w:t>1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F768EF">
      <w:rPr>
        <w:sz w:val="20"/>
        <w:szCs w:val="20"/>
      </w:rPr>
      <w:t>8 a 18</w:t>
    </w:r>
    <w:r w:rsidR="00C20DC8">
      <w:rPr>
        <w:sz w:val="20"/>
        <w:szCs w:val="20"/>
      </w:rPr>
      <w:t xml:space="preserve"> de dezembro de </w:t>
    </w:r>
    <w:r w:rsidR="00FE00AD" w:rsidRPr="00971E07">
      <w:rPr>
        <w:sz w:val="20"/>
        <w:szCs w:val="20"/>
      </w:rPr>
      <w:t>20</w:t>
    </w:r>
    <w:r w:rsidR="00E16E01" w:rsidRPr="00971E07">
      <w:rPr>
        <w:sz w:val="20"/>
        <w:szCs w:val="20"/>
      </w:rPr>
      <w:t>1</w:t>
    </w:r>
    <w:r w:rsidR="00C20DC8">
      <w:rPr>
        <w:sz w:val="20"/>
        <w:szCs w:val="20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 w:rsidP="008C1F97">
    <w:pPr>
      <w:pStyle w:val="Cabealho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  <w:r w:rsidR="0001157D">
      <w:tab/>
    </w:r>
    <w:r w:rsidR="0001157D">
      <w:tab/>
    </w:r>
    <w:r w:rsidR="008C1F97">
      <w:t xml:space="preserve">    </w:t>
    </w:r>
    <w:r w:rsidR="0001157D" w:rsidRPr="0001157D">
      <w:rPr>
        <w:rFonts w:ascii="Lucida Handwriting" w:hAnsi="Lucida Handwriting"/>
        <w:color w:val="FF0000"/>
        <w:sz w:val="40"/>
        <w:szCs w:val="40"/>
      </w:rPr>
      <w:t>Execução</w:t>
    </w:r>
    <w:r w:rsidR="0001157D" w:rsidRPr="0001157D">
      <w:rPr>
        <w:rFonts w:ascii="Lucida Handwriting" w:hAnsi="Lucida Handwriting"/>
        <w:sz w:val="40"/>
        <w:szCs w:val="40"/>
      </w:rPr>
      <w:t xml:space="preserve"> </w:t>
    </w:r>
    <w:r w:rsidR="0001157D">
      <w:t xml:space="preserve">                                                                                                                                               </w: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E73DEC">
      <w:rPr>
        <w:b/>
        <w:sz w:val="40"/>
        <w:szCs w:val="40"/>
      </w:rPr>
      <w:t>2</w:t>
    </w:r>
    <w:r w:rsidR="00F768EF">
      <w:rPr>
        <w:b/>
        <w:sz w:val="40"/>
        <w:szCs w:val="40"/>
      </w:rPr>
      <w:t>1</w:t>
    </w:r>
  </w:p>
  <w:p w:rsidR="005221E4" w:rsidRPr="005D1DE4" w:rsidRDefault="005221E4" w:rsidP="005221E4">
    <w:pPr>
      <w:pStyle w:val="Cabealho"/>
      <w:jc w:val="right"/>
    </w:pPr>
    <w:r>
      <w:rPr>
        <w:i/>
        <w:iCs/>
      </w:rPr>
      <w:t xml:space="preserve">Período: </w:t>
    </w:r>
    <w:r w:rsidR="00F768EF">
      <w:rPr>
        <w:i/>
        <w:iCs/>
      </w:rPr>
      <w:t xml:space="preserve">8 a 18 </w:t>
    </w:r>
    <w:r w:rsidR="00E73DEC">
      <w:rPr>
        <w:i/>
        <w:iCs/>
      </w:rPr>
      <w:t>de dezembro</w:t>
    </w:r>
    <w:r w:rsidR="008547E5">
      <w:rPr>
        <w:i/>
        <w:iCs/>
      </w:rPr>
      <w:t xml:space="preserve"> de 2015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04F4E"/>
    <w:rsid w:val="0001157D"/>
    <w:rsid w:val="000228E6"/>
    <w:rsid w:val="00032056"/>
    <w:rsid w:val="000322FB"/>
    <w:rsid w:val="000425FC"/>
    <w:rsid w:val="00050E85"/>
    <w:rsid w:val="00056752"/>
    <w:rsid w:val="00057B87"/>
    <w:rsid w:val="0006020E"/>
    <w:rsid w:val="000632E4"/>
    <w:rsid w:val="00072A6F"/>
    <w:rsid w:val="000733B4"/>
    <w:rsid w:val="00073880"/>
    <w:rsid w:val="00075BDB"/>
    <w:rsid w:val="00080F10"/>
    <w:rsid w:val="0009237D"/>
    <w:rsid w:val="00093AE9"/>
    <w:rsid w:val="00093BA8"/>
    <w:rsid w:val="000A04E6"/>
    <w:rsid w:val="000B3BE1"/>
    <w:rsid w:val="000B4D41"/>
    <w:rsid w:val="000B67DF"/>
    <w:rsid w:val="000B7CDE"/>
    <w:rsid w:val="000C3022"/>
    <w:rsid w:val="000C672B"/>
    <w:rsid w:val="000D0FC8"/>
    <w:rsid w:val="000E0A91"/>
    <w:rsid w:val="000E0B8C"/>
    <w:rsid w:val="00110AE4"/>
    <w:rsid w:val="0011575C"/>
    <w:rsid w:val="0011692E"/>
    <w:rsid w:val="00137564"/>
    <w:rsid w:val="00137DC1"/>
    <w:rsid w:val="001418E3"/>
    <w:rsid w:val="0015612D"/>
    <w:rsid w:val="001655D0"/>
    <w:rsid w:val="00176D15"/>
    <w:rsid w:val="00184590"/>
    <w:rsid w:val="00187762"/>
    <w:rsid w:val="00187A37"/>
    <w:rsid w:val="0019151D"/>
    <w:rsid w:val="00193208"/>
    <w:rsid w:val="0019725D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77CC6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40C8"/>
    <w:rsid w:val="00396053"/>
    <w:rsid w:val="003A4086"/>
    <w:rsid w:val="003A5E5B"/>
    <w:rsid w:val="003A75E8"/>
    <w:rsid w:val="003B045C"/>
    <w:rsid w:val="003B0A59"/>
    <w:rsid w:val="003B3EB5"/>
    <w:rsid w:val="003B4E23"/>
    <w:rsid w:val="003B767E"/>
    <w:rsid w:val="003C6FE7"/>
    <w:rsid w:val="003D032E"/>
    <w:rsid w:val="003D399C"/>
    <w:rsid w:val="003D4205"/>
    <w:rsid w:val="003F2078"/>
    <w:rsid w:val="003F49C6"/>
    <w:rsid w:val="0042772A"/>
    <w:rsid w:val="0042781A"/>
    <w:rsid w:val="004323B0"/>
    <w:rsid w:val="00434655"/>
    <w:rsid w:val="004407B4"/>
    <w:rsid w:val="00444C71"/>
    <w:rsid w:val="00444E88"/>
    <w:rsid w:val="0045657C"/>
    <w:rsid w:val="004655CC"/>
    <w:rsid w:val="00466DB9"/>
    <w:rsid w:val="00474C4A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2DB8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221E4"/>
    <w:rsid w:val="005460BD"/>
    <w:rsid w:val="00553197"/>
    <w:rsid w:val="0055409E"/>
    <w:rsid w:val="00556367"/>
    <w:rsid w:val="00556B35"/>
    <w:rsid w:val="00573E13"/>
    <w:rsid w:val="00584F82"/>
    <w:rsid w:val="00591DFA"/>
    <w:rsid w:val="00594EA8"/>
    <w:rsid w:val="005A5695"/>
    <w:rsid w:val="005A779D"/>
    <w:rsid w:val="005B2F00"/>
    <w:rsid w:val="005B57DE"/>
    <w:rsid w:val="005C1886"/>
    <w:rsid w:val="005C761E"/>
    <w:rsid w:val="005D0E5F"/>
    <w:rsid w:val="005D1DE4"/>
    <w:rsid w:val="005D4F86"/>
    <w:rsid w:val="005E1A86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672C1"/>
    <w:rsid w:val="00672CF9"/>
    <w:rsid w:val="00672E11"/>
    <w:rsid w:val="0068273B"/>
    <w:rsid w:val="00691234"/>
    <w:rsid w:val="006931CC"/>
    <w:rsid w:val="006947F2"/>
    <w:rsid w:val="00697919"/>
    <w:rsid w:val="006B0315"/>
    <w:rsid w:val="006B3FCF"/>
    <w:rsid w:val="006B46CA"/>
    <w:rsid w:val="006C0391"/>
    <w:rsid w:val="006C28B3"/>
    <w:rsid w:val="006D1F66"/>
    <w:rsid w:val="006D306E"/>
    <w:rsid w:val="006D4497"/>
    <w:rsid w:val="006D5828"/>
    <w:rsid w:val="006F6C15"/>
    <w:rsid w:val="0070727E"/>
    <w:rsid w:val="00710D3A"/>
    <w:rsid w:val="0071315F"/>
    <w:rsid w:val="00721942"/>
    <w:rsid w:val="00722967"/>
    <w:rsid w:val="00722BE7"/>
    <w:rsid w:val="00732DF2"/>
    <w:rsid w:val="007614F1"/>
    <w:rsid w:val="007618C5"/>
    <w:rsid w:val="00763644"/>
    <w:rsid w:val="00764066"/>
    <w:rsid w:val="00776118"/>
    <w:rsid w:val="007767E8"/>
    <w:rsid w:val="00792542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7E5"/>
    <w:rsid w:val="00854DB8"/>
    <w:rsid w:val="00854EF2"/>
    <w:rsid w:val="00863B86"/>
    <w:rsid w:val="00871F69"/>
    <w:rsid w:val="008842D0"/>
    <w:rsid w:val="00884AC4"/>
    <w:rsid w:val="0088579D"/>
    <w:rsid w:val="008A0E41"/>
    <w:rsid w:val="008A7953"/>
    <w:rsid w:val="008B3081"/>
    <w:rsid w:val="008B32D4"/>
    <w:rsid w:val="008C1F97"/>
    <w:rsid w:val="008D0020"/>
    <w:rsid w:val="008D3C38"/>
    <w:rsid w:val="008D6A05"/>
    <w:rsid w:val="008E2AE5"/>
    <w:rsid w:val="008E3F89"/>
    <w:rsid w:val="008F26CB"/>
    <w:rsid w:val="008F4AEC"/>
    <w:rsid w:val="008F6509"/>
    <w:rsid w:val="008F79D9"/>
    <w:rsid w:val="009027C8"/>
    <w:rsid w:val="00913D22"/>
    <w:rsid w:val="00930E93"/>
    <w:rsid w:val="0093467A"/>
    <w:rsid w:val="0094155C"/>
    <w:rsid w:val="00943437"/>
    <w:rsid w:val="00951531"/>
    <w:rsid w:val="00952ED9"/>
    <w:rsid w:val="00957CAC"/>
    <w:rsid w:val="00960A3B"/>
    <w:rsid w:val="00967DE0"/>
    <w:rsid w:val="00971E07"/>
    <w:rsid w:val="00980944"/>
    <w:rsid w:val="00986D77"/>
    <w:rsid w:val="009943EC"/>
    <w:rsid w:val="009A32D5"/>
    <w:rsid w:val="009A7184"/>
    <w:rsid w:val="009B6012"/>
    <w:rsid w:val="009C102D"/>
    <w:rsid w:val="009C2A4F"/>
    <w:rsid w:val="009D4C59"/>
    <w:rsid w:val="009D7F91"/>
    <w:rsid w:val="009E20EF"/>
    <w:rsid w:val="009E26EE"/>
    <w:rsid w:val="009F21A2"/>
    <w:rsid w:val="00A007E0"/>
    <w:rsid w:val="00A1108F"/>
    <w:rsid w:val="00A32FBF"/>
    <w:rsid w:val="00A407EA"/>
    <w:rsid w:val="00A51749"/>
    <w:rsid w:val="00A521B6"/>
    <w:rsid w:val="00A56962"/>
    <w:rsid w:val="00A6412C"/>
    <w:rsid w:val="00A73C7A"/>
    <w:rsid w:val="00A75419"/>
    <w:rsid w:val="00A76661"/>
    <w:rsid w:val="00A76D2A"/>
    <w:rsid w:val="00A82081"/>
    <w:rsid w:val="00A8557E"/>
    <w:rsid w:val="00A91181"/>
    <w:rsid w:val="00A935AC"/>
    <w:rsid w:val="00AA4939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619B3"/>
    <w:rsid w:val="00B73FFA"/>
    <w:rsid w:val="00B76A85"/>
    <w:rsid w:val="00B819BC"/>
    <w:rsid w:val="00B874F1"/>
    <w:rsid w:val="00BC1DE7"/>
    <w:rsid w:val="00BC5AEE"/>
    <w:rsid w:val="00BD6029"/>
    <w:rsid w:val="00BE0541"/>
    <w:rsid w:val="00BE1ADB"/>
    <w:rsid w:val="00C070DE"/>
    <w:rsid w:val="00C1089B"/>
    <w:rsid w:val="00C20DC8"/>
    <w:rsid w:val="00C26DFB"/>
    <w:rsid w:val="00C273FA"/>
    <w:rsid w:val="00C30D06"/>
    <w:rsid w:val="00C35E04"/>
    <w:rsid w:val="00C42067"/>
    <w:rsid w:val="00C432D0"/>
    <w:rsid w:val="00C4398E"/>
    <w:rsid w:val="00C4737F"/>
    <w:rsid w:val="00C60B4A"/>
    <w:rsid w:val="00C62C5E"/>
    <w:rsid w:val="00C65BDB"/>
    <w:rsid w:val="00C71A3B"/>
    <w:rsid w:val="00C76CFA"/>
    <w:rsid w:val="00C963F8"/>
    <w:rsid w:val="00C96BB1"/>
    <w:rsid w:val="00CA1806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317F2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36856"/>
    <w:rsid w:val="00E41702"/>
    <w:rsid w:val="00E432CC"/>
    <w:rsid w:val="00E50711"/>
    <w:rsid w:val="00E60EDA"/>
    <w:rsid w:val="00E62BBC"/>
    <w:rsid w:val="00E73DE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31D0C"/>
    <w:rsid w:val="00F402B4"/>
    <w:rsid w:val="00F511EE"/>
    <w:rsid w:val="00F511F9"/>
    <w:rsid w:val="00F558E7"/>
    <w:rsid w:val="00F57F9E"/>
    <w:rsid w:val="00F62016"/>
    <w:rsid w:val="00F63F44"/>
    <w:rsid w:val="00F6746D"/>
    <w:rsid w:val="00F7499A"/>
    <w:rsid w:val="00F760B5"/>
    <w:rsid w:val="00F768EF"/>
    <w:rsid w:val="00F811CD"/>
    <w:rsid w:val="00F82D8F"/>
    <w:rsid w:val="00F83F62"/>
    <w:rsid w:val="00F9711D"/>
    <w:rsid w:val="00F97550"/>
    <w:rsid w:val="00F979EA"/>
    <w:rsid w:val="00FA75E0"/>
    <w:rsid w:val="00FB20B1"/>
    <w:rsid w:val="00FB3AB4"/>
    <w:rsid w:val="00FC39C3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F31D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10126&amp;digitoTst=09&amp;anoTst=2013&amp;orgaoTst=5&amp;tribunalTst=01&amp;varaTst=000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icacao4.tst.jus.br/consultaProcessual/consultaTstNumUnica.do?consulta=Consultar&amp;conscsjt=&amp;numeroTst=1000989&amp;digitoTst=22&amp;anoTst=2014&amp;orgaoTst=5&amp;tribunalTst=02&amp;varaTst=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1000552&amp;digitoTst=78&amp;anoTst=2014&amp;orgaoTst=5&amp;tribunalTst=02&amp;varaTst=000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162C-C18A-40A2-BBFA-56E3FEB7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5137</CharactersWithSpaces>
  <SharedDoc>false</SharedDoc>
  <HLinks>
    <vt:vector size="18" baseType="variant">
      <vt:variant>
        <vt:i4>5439500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http://aplicacao4.tst.jus.br/consultaProcessual/consultaTstNumUnica.do?consulta=Consultar&amp;conscsjt=&amp;numeroTst=1000989&amp;digitoTst=22&amp;anoTst=2014&amp;orgaoTst=5&amp;tribunalTst=02&amp;varaTst=0000</vt:lpwstr>
      </vt:variant>
      <vt:variant>
        <vt:lpwstr/>
      </vt:variant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http://aplicacao4.tst.jus.br/consultaProcessual/consultaTstNumUnica.do?consulta=Consultar&amp;conscsjt=&amp;numeroTst=1000552&amp;digitoTst=78&amp;anoTst=2014&amp;orgaoTst=5&amp;tribunalTst=02&amp;varaTst=0000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http://aplicacao4.tst.jus.br/consultaProcessual/consultaTstNumUnica.do?consulta=Consultar&amp;conscsjt=&amp;numeroTst=10126&amp;digitoTst=09&amp;anoTst=2013&amp;orgaoTst=5&amp;tribunalTst=01&amp;varaTst=0000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2016-02-04T16:23:00Z</cp:lastPrinted>
  <dcterms:created xsi:type="dcterms:W3CDTF">2018-06-27T21:49:00Z</dcterms:created>
  <dcterms:modified xsi:type="dcterms:W3CDTF">2018-06-27T21:49:00Z</dcterms:modified>
</cp:coreProperties>
</file>