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F7499A" w:rsidP="00F7499A">
            <w:pPr>
              <w:pStyle w:val="Cabealho"/>
              <w:tabs>
                <w:tab w:val="clear" w:pos="4419"/>
                <w:tab w:val="clear" w:pos="8838"/>
              </w:tabs>
              <w:jc w:val="both"/>
              <w:rPr>
                <w:sz w:val="10"/>
                <w:szCs w:val="10"/>
              </w:rPr>
            </w:pPr>
            <w:r>
              <w:rPr>
                <w:sz w:val="16"/>
                <w:szCs w:val="16"/>
              </w:rPr>
              <w:t xml:space="preserve">Este Informativo </w:t>
            </w:r>
            <w:r w:rsidR="00C26DFB" w:rsidRPr="00187A37">
              <w:rPr>
                <w:sz w:val="16"/>
                <w:szCs w:val="16"/>
              </w:rPr>
              <w:t>contém resumos não</w:t>
            </w:r>
            <w:r w:rsidR="00DC50EB" w:rsidRPr="00187A37">
              <w:rPr>
                <w:sz w:val="16"/>
                <w:szCs w:val="16"/>
              </w:rPr>
              <w:t xml:space="preserve"> </w:t>
            </w:r>
            <w:r w:rsidR="00C26DFB" w:rsidRPr="00187A37">
              <w:rPr>
                <w:sz w:val="16"/>
                <w:szCs w:val="16"/>
              </w:rPr>
              <w:t>oficiais de decisões proferidas pelo Tribunal</w:t>
            </w:r>
            <w:r>
              <w:rPr>
                <w:sz w:val="16"/>
                <w:szCs w:val="16"/>
              </w:rPr>
              <w:t xml:space="preserve"> em sede de execução trabalhista</w:t>
            </w:r>
            <w:r w:rsidR="00C26DFB" w:rsidRPr="00187A37">
              <w:rPr>
                <w:sz w:val="16"/>
                <w:szCs w:val="16"/>
              </w:rPr>
              <w:t>.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00C26DFB" w:rsidRPr="00187A37">
              <w:rPr>
                <w:sz w:val="16"/>
                <w:szCs w:val="16"/>
              </w:rPr>
              <w:t>da Justiça</w:t>
            </w:r>
            <w:r w:rsidR="00980944" w:rsidRPr="00187A37">
              <w:rPr>
                <w:sz w:val="16"/>
                <w:szCs w:val="16"/>
              </w:rPr>
              <w:t xml:space="preserve"> do Trabalho</w:t>
            </w:r>
            <w:r w:rsidR="00C26DFB" w:rsidRPr="00187A37">
              <w:rPr>
                <w:sz w:val="16"/>
                <w:szCs w:val="16"/>
              </w:rPr>
              <w:t>.</w:t>
            </w:r>
          </w:p>
        </w:tc>
      </w:tr>
    </w:tbl>
    <w:p w:rsidR="00E41702" w:rsidRPr="000E0B8C" w:rsidRDefault="00E41702" w:rsidP="005460BD">
      <w:pPr>
        <w:ind w:right="-71"/>
        <w:jc w:val="both"/>
        <w:rPr>
          <w:b/>
          <w:i/>
        </w:rPr>
      </w:pPr>
    </w:p>
    <w:p w:rsidR="008F4AEC" w:rsidRPr="00971E07" w:rsidRDefault="008F4AEC" w:rsidP="008F4AEC">
      <w:pPr>
        <w:pStyle w:val="Corpo"/>
        <w:pBdr>
          <w:top w:val="single" w:sz="4" w:space="1" w:color="auto"/>
          <w:left w:val="single" w:sz="4" w:space="4" w:color="auto"/>
          <w:bottom w:val="single" w:sz="4" w:space="1" w:color="auto"/>
          <w:right w:val="single" w:sz="4" w:space="4" w:color="auto"/>
        </w:pBdr>
        <w:shd w:val="clear" w:color="auto" w:fill="E5B8B7"/>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E73DEC" w:rsidRPr="00E73DEC" w:rsidRDefault="00E73DEC" w:rsidP="000E0B8C">
      <w:pPr>
        <w:pStyle w:val="Corpo"/>
        <w:spacing w:line="240" w:lineRule="auto"/>
        <w:ind w:firstLine="0"/>
        <w:rPr>
          <w:rFonts w:ascii="Times New Roman" w:hAnsi="Times New Roman"/>
          <w:sz w:val="20"/>
          <w:szCs w:val="20"/>
          <w:u w:val="single"/>
          <w:lang w:val="pt-BR"/>
        </w:rPr>
      </w:pPr>
    </w:p>
    <w:p w:rsidR="00E73DEC" w:rsidRPr="004B4952" w:rsidRDefault="00E73DEC" w:rsidP="00E73DEC">
      <w:pPr>
        <w:jc w:val="both"/>
        <w:rPr>
          <w:b/>
          <w:i/>
          <w:sz w:val="24"/>
          <w:szCs w:val="24"/>
        </w:rPr>
      </w:pPr>
      <w:r w:rsidRPr="004B4952">
        <w:rPr>
          <w:b/>
          <w:i/>
          <w:sz w:val="24"/>
          <w:szCs w:val="24"/>
        </w:rPr>
        <w:t xml:space="preserve">Contribuição previdenciária. Fato gerador. Incidência de multa e juros de mora. Data da </w:t>
      </w:r>
      <w:r>
        <w:rPr>
          <w:b/>
          <w:i/>
          <w:sz w:val="24"/>
          <w:szCs w:val="24"/>
        </w:rPr>
        <w:t>p</w:t>
      </w:r>
      <w:r w:rsidRPr="004B4952">
        <w:rPr>
          <w:b/>
          <w:i/>
          <w:sz w:val="24"/>
          <w:szCs w:val="24"/>
        </w:rPr>
        <w:t xml:space="preserve">restação dos serviços. Alteração do art. 43 da Lei nº 8.2012/1991 pela Medida Provisória nº 449/2008, convertida na Lei nº 11.941/2009. </w:t>
      </w:r>
    </w:p>
    <w:p w:rsidR="00E73DEC" w:rsidRPr="004B4952" w:rsidRDefault="00E73DEC" w:rsidP="00E73DEC">
      <w:pPr>
        <w:pStyle w:val="Corpo"/>
        <w:spacing w:line="240" w:lineRule="auto"/>
        <w:ind w:firstLine="0"/>
        <w:rPr>
          <w:rFonts w:ascii="Times New Roman" w:eastAsia="Calibri" w:hAnsi="Times New Roman" w:cs="Times New Roman"/>
          <w:color w:val="FF0000"/>
          <w:lang w:val="pt-BR" w:eastAsia="en-US"/>
        </w:rPr>
      </w:pPr>
      <w:r w:rsidRPr="004B4952">
        <w:rPr>
          <w:rFonts w:ascii="Times New Roman" w:eastAsia="Calibri" w:hAnsi="Times New Roman" w:cs="Times New Roman"/>
          <w:color w:val="auto"/>
          <w:lang w:val="pt-BR" w:eastAsia="en-US"/>
        </w:rPr>
        <w:t xml:space="preserve">Na vigência do art. 276, </w:t>
      </w:r>
      <w:r w:rsidRPr="004B4952">
        <w:rPr>
          <w:rFonts w:ascii="Times New Roman" w:eastAsia="Calibri" w:hAnsi="Times New Roman" w:cs="Times New Roman"/>
          <w:i/>
          <w:color w:val="auto"/>
          <w:lang w:val="pt-BR" w:eastAsia="en-US"/>
        </w:rPr>
        <w:t>caput</w:t>
      </w:r>
      <w:r w:rsidRPr="004B4952">
        <w:rPr>
          <w:rFonts w:ascii="Times New Roman" w:eastAsia="Calibri" w:hAnsi="Times New Roman" w:cs="Times New Roman"/>
          <w:color w:val="auto"/>
          <w:lang w:val="pt-BR" w:eastAsia="en-US"/>
        </w:rPr>
        <w:t xml:space="preserve">, do Decreto nº 3.048/99, o fato gerador da contribuição previdenciária era o pagamento do crédito devido ao trabalhador e, no caso de decisão judicial trabalhista, somente seria cabível a incidência de multa e juros de mora após o dia dois do mês subsequente ao trânsito em julgado da decisão que pôs fim à discussão acerca dos cálculos de liquidação. Porém, desde a edição da Medida Provisória nº 449/2008, convertida na Lei nº 11.941/2009, que modificou o art. 43 da Lei nº 8.212/1991, as contribuições sociais apuradas em virtude de sentença judicial ou acordo homologado judicialmente passaram a ser devidas a partir da data de prestação do serviço, considerando-se como marco de incidência do novo dispositivo de lei o dia 5.3.2009, em atenção aos princípios da anterioridade tributária e nonagesimal (arts. 150, III, “a”, e 195, § 6º, da CF). Entendimento consolidado pelo Tribunal Pleno no julgamento do processo TST-E-RR-1125-36.2010.5.06.0171, em 20.10.2015. Sob esses fundamentos, e tendo em conta que, na espécie, a prestação de serviço objeto da reclamação trabalhista ocorreu no período de 21.3.2003 a 28.12.2011, a SBDI-I, por unanimidade, conheceu dos embargos, por divergência jurisprudencial, e, no mérito, deu-lhe provimento parcial para determinar que a partir de 5.3.2009 </w:t>
      </w:r>
      <w:r w:rsidRPr="004B4952">
        <w:rPr>
          <w:rFonts w:ascii="Times New Roman" w:eastAsia="Calibri" w:hAnsi="Times New Roman"/>
          <w:color w:val="auto"/>
          <w:lang w:val="pt-BR" w:eastAsia="en-US"/>
        </w:rPr>
        <w:t>o fato gerador da obrigação previdenciária para fins de incidência dos juros moratórios é a data da efetiva prestação de serviço, mantendo-se o termo inicial do referido encargo no dia dois do mês seguinte ao do efetivo pagamento do débito em relação às prestações laborais ocorridas até o dia 4.3.2009. A multa incide a partir do primeiro dia subsequente ao término do prazo de citação para pagamento das parcelas previdenciárias, observado o limite legal de 20% (art. 61, § 2º, da Lei nº 9.430/96).</w:t>
      </w:r>
      <w:r w:rsidRPr="004B4952">
        <w:rPr>
          <w:rFonts w:eastAsia="Calibri"/>
          <w:lang w:val="pt-BR" w:eastAsia="en-US"/>
        </w:rPr>
        <w:t xml:space="preserve"> </w:t>
      </w:r>
      <w:hyperlink r:id="rId8" w:history="1">
        <w:r w:rsidRPr="008A0E41">
          <w:rPr>
            <w:rStyle w:val="Hyperlink"/>
            <w:rFonts w:ascii="Times New Roman" w:hAnsi="Times New Roman" w:cs="Courier New"/>
            <w:lang w:val="pt-BR"/>
          </w:rPr>
          <w:t>TST-E-ED-RR-4484-80.2012.5.12.0001</w:t>
        </w:r>
      </w:hyperlink>
      <w:r w:rsidRPr="004B4952">
        <w:rPr>
          <w:rFonts w:ascii="Times New Roman" w:hAnsi="Times New Roman"/>
          <w:color w:val="auto"/>
          <w:u w:val="single"/>
          <w:lang w:val="pt-BR"/>
        </w:rPr>
        <w:t>, SBDI-I, rel. Min. Renato de Lacerda Paiva, 19.11.2015</w:t>
      </w:r>
    </w:p>
    <w:p w:rsidR="00E73DEC" w:rsidRPr="00E73DEC" w:rsidRDefault="00E73DEC" w:rsidP="000E0B8C">
      <w:pPr>
        <w:pStyle w:val="Corpo"/>
        <w:spacing w:line="240" w:lineRule="auto"/>
        <w:ind w:firstLine="0"/>
        <w:rPr>
          <w:rFonts w:ascii="Times New Roman" w:hAnsi="Times New Roman"/>
          <w:sz w:val="20"/>
          <w:szCs w:val="20"/>
          <w:u w:val="single"/>
          <w:lang w:val="pt-BR"/>
        </w:rPr>
      </w:pPr>
    </w:p>
    <w:p w:rsidR="00E73DEC" w:rsidRPr="00E73DEC" w:rsidRDefault="00E73DEC" w:rsidP="00E73DEC">
      <w:pPr>
        <w:jc w:val="both"/>
        <w:rPr>
          <w:b/>
          <w:i/>
          <w:sz w:val="24"/>
          <w:szCs w:val="24"/>
        </w:rPr>
      </w:pPr>
      <w:r w:rsidRPr="00E73DEC">
        <w:rPr>
          <w:b/>
          <w:i/>
          <w:sz w:val="24"/>
          <w:szCs w:val="24"/>
        </w:rPr>
        <w:t xml:space="preserve">Sindicato. Substituição processual. Execução. Fracionamento. Expedição de Requisição de Pequeno Valor. Possibilidade. </w:t>
      </w:r>
    </w:p>
    <w:p w:rsidR="00E73DEC" w:rsidRDefault="00E73DEC" w:rsidP="00E73DEC">
      <w:pPr>
        <w:jc w:val="both"/>
        <w:rPr>
          <w:b/>
          <w:i/>
          <w:sz w:val="24"/>
          <w:szCs w:val="24"/>
        </w:rPr>
      </w:pPr>
      <w:r w:rsidRPr="00E73DEC">
        <w:rPr>
          <w:sz w:val="24"/>
          <w:szCs w:val="24"/>
        </w:rPr>
        <w:t xml:space="preserve">O título judicial emanado de sentença proferida em ação coletiva ajuizada por sindicato, na qualidade de substituto processual, pode ser objeto de execução individual, mediante a utilização da Requisição de Pequeno Valor (art. 87 do ADCT), sem que isso implique afronta ao art. 100, § 8º, da CF. O Estado é devedor de cada trabalhador, na exata proporção dos respectivos créditos, e não do sindicato propriamente dito, que atuou como legitimado extraordinário, defendendo direito alheio em nome próprio. Desse modo, o crédito decorrente da condenação em processo instaurado mediante substituição processual não é único. Trata-se de um somatório de créditos, pertencentes aos diversos substituídos, de maneira que, se analisados individualmente, podem, em tese, se inserir no conceito de “pequeno valor”. Inteligência da Orientação Jurisprudencial nº 9 do Tribunal Pleno/Órgão Especial. Ademais, embora o STF tenha fixado a possibilidade de fracionamento da execução para expedição de Requisição de Pequeno Valor quando se tratar de litisconsórcio facultativo ativo (STF-RE-568645/SP, com repercussão geral reconhecida), o mesmo entendimento tem sido aplicado aos casos de ação coletiva. Sob esses fundamentos, a SBDI-I, por unanimidade, conheceu dos embargos interpostos pelo sindicato, por divergência jurisprudencial, e, no mérito, por </w:t>
      </w:r>
      <w:r w:rsidRPr="00E73DEC">
        <w:rPr>
          <w:sz w:val="24"/>
          <w:szCs w:val="24"/>
        </w:rPr>
        <w:lastRenderedPageBreak/>
        <w:t xml:space="preserve">maioria, deu-lhes provimento para restabelecer o acórdão do Regional no tocante à execução individualizada do título judicial, mediante requisições de pequeno valor, nos termos do art. 87 do ADCT. Vencidos os Ministros Lelio Bentes Corrêa, relator, Antonio José de Barros Levenhagen, Renato de Lacerda Paiva, Aloysio Corrêa da Veiga e Guilherme Augusto Caputo Bastos. </w:t>
      </w:r>
      <w:hyperlink r:id="rId9" w:history="1">
        <w:r w:rsidRPr="008A0E41">
          <w:rPr>
            <w:rStyle w:val="Hyperlink"/>
            <w:sz w:val="24"/>
            <w:szCs w:val="24"/>
          </w:rPr>
          <w:t>TST-E-ED-RR-10247-58.2010.5.04.0000</w:t>
        </w:r>
      </w:hyperlink>
      <w:r w:rsidRPr="00E73DEC">
        <w:rPr>
          <w:sz w:val="24"/>
          <w:szCs w:val="24"/>
          <w:u w:val="single"/>
        </w:rPr>
        <w:t>, SBDI-I, rel. Min. Lelio Bentes Corrêa, red. p/acórdão Min. João Oreste Dalazen, 26.11.2015</w:t>
      </w:r>
      <w:r w:rsidRPr="00FF5D51">
        <w:t xml:space="preserve"> (*No mesmo sentido, </w:t>
      </w:r>
      <w:hyperlink r:id="rId10" w:history="1">
        <w:r w:rsidRPr="008A0E41">
          <w:rPr>
            <w:rStyle w:val="Hyperlink"/>
          </w:rPr>
          <w:t>TST-E-ED-ED-RR-9091200-66.1991.5.04.0016</w:t>
        </w:r>
      </w:hyperlink>
      <w:r w:rsidRPr="00FF5D51">
        <w:t>, SBDI-I, rel. Min. Márcio Eurico Vitral Amaro, 26.11.2015)</w:t>
      </w:r>
    </w:p>
    <w:p w:rsidR="00E73DEC" w:rsidRPr="00E73DEC" w:rsidRDefault="00E73DEC" w:rsidP="00E73DEC">
      <w:pPr>
        <w:jc w:val="both"/>
        <w:rPr>
          <w:b/>
          <w:i/>
        </w:rPr>
      </w:pPr>
    </w:p>
    <w:p w:rsidR="00E73DEC" w:rsidRPr="00C4494D" w:rsidRDefault="00E73DEC" w:rsidP="00E73DEC">
      <w:pPr>
        <w:jc w:val="both"/>
        <w:rPr>
          <w:b/>
          <w:i/>
          <w:sz w:val="24"/>
          <w:szCs w:val="24"/>
        </w:rPr>
      </w:pPr>
      <w:r>
        <w:rPr>
          <w:b/>
          <w:i/>
          <w:sz w:val="24"/>
          <w:szCs w:val="24"/>
        </w:rPr>
        <w:t xml:space="preserve">Multa de 20% sobre o valor da condenação em razão do não pagamento ou de ausência de garantia da execução. </w:t>
      </w:r>
      <w:r w:rsidRPr="00C4494D">
        <w:rPr>
          <w:b/>
          <w:i/>
          <w:sz w:val="24"/>
          <w:szCs w:val="24"/>
        </w:rPr>
        <w:t>Art. 832, §1º</w:t>
      </w:r>
      <w:r>
        <w:rPr>
          <w:b/>
          <w:i/>
          <w:sz w:val="24"/>
          <w:szCs w:val="24"/>
        </w:rPr>
        <w:t>,</w:t>
      </w:r>
      <w:r w:rsidRPr="00C4494D">
        <w:rPr>
          <w:b/>
          <w:i/>
          <w:sz w:val="24"/>
          <w:szCs w:val="24"/>
        </w:rPr>
        <w:t xml:space="preserve"> da CLT.</w:t>
      </w:r>
      <w:r>
        <w:rPr>
          <w:b/>
          <w:i/>
          <w:sz w:val="24"/>
          <w:szCs w:val="24"/>
        </w:rPr>
        <w:t xml:space="preserve"> Impossibilidade. Existência de regramento específico. Art. 880 da CLT. </w:t>
      </w:r>
    </w:p>
    <w:p w:rsidR="00E73DEC" w:rsidRPr="00223E86" w:rsidRDefault="00E73DEC" w:rsidP="00E73DEC">
      <w:pPr>
        <w:pStyle w:val="Corpo"/>
        <w:spacing w:line="240" w:lineRule="auto"/>
        <w:ind w:firstLine="0"/>
        <w:rPr>
          <w:rFonts w:ascii="Times New Roman" w:eastAsia="Calibri" w:hAnsi="Times New Roman" w:cs="Times New Roman"/>
          <w:color w:val="FF0000"/>
          <w:lang w:val="pt-BR" w:eastAsia="en-US"/>
        </w:rPr>
      </w:pPr>
      <w:r w:rsidRPr="00E8158D">
        <w:rPr>
          <w:rFonts w:ascii="Times New Roman" w:hAnsi="Times New Roman"/>
          <w:lang w:val="pt-BR"/>
        </w:rPr>
        <w:t xml:space="preserve">O art. 880 da CLT determina o pagamento ou a garantia da execução no prazo de 48 horas, sob pena de penhora. </w:t>
      </w:r>
      <w:r w:rsidRPr="00AA3EBA">
        <w:rPr>
          <w:rFonts w:ascii="Times New Roman" w:hAnsi="Times New Roman"/>
          <w:lang w:val="pt-BR"/>
        </w:rPr>
        <w:t>Assim, havendo regramento específico para o</w:t>
      </w:r>
      <w:r w:rsidRPr="00C4494D">
        <w:rPr>
          <w:rFonts w:ascii="Times New Roman" w:eastAsia="Calibri" w:hAnsi="Times New Roman" w:cs="Times New Roman"/>
          <w:color w:val="auto"/>
          <w:lang w:val="pt-BR" w:eastAsia="en-US"/>
        </w:rPr>
        <w:t xml:space="preserve"> não cumprimento espontâneo da decisão judicial ou</w:t>
      </w:r>
      <w:r w:rsidRPr="00AA3EBA">
        <w:rPr>
          <w:rFonts w:ascii="Times New Roman" w:hAnsi="Times New Roman"/>
          <w:lang w:val="pt-BR"/>
        </w:rPr>
        <w:t xml:space="preserve"> para a ausência de </w:t>
      </w:r>
      <w:r w:rsidRPr="00C4494D">
        <w:rPr>
          <w:rFonts w:ascii="Times New Roman" w:eastAsia="Calibri" w:hAnsi="Times New Roman" w:cs="Times New Roman"/>
          <w:color w:val="auto"/>
          <w:lang w:val="pt-BR" w:eastAsia="en-US"/>
        </w:rPr>
        <w:t>garantia do juízo</w:t>
      </w:r>
      <w:r w:rsidRPr="00AA3EBA">
        <w:rPr>
          <w:rFonts w:ascii="Times New Roman" w:hAnsi="Times New Roman"/>
          <w:lang w:val="pt-BR"/>
        </w:rPr>
        <w:t xml:space="preserve">, não subsiste a multa de 20% sobre o valor da condenação imposta à reclamada com fundamento no art. 832, § 1º, da CLT. No caso concreto, ressaltou-se que o referido dispositivo tem caráter genérico e deve ser interpretado em conjunto com a disciplina que a CLT confere à execução trabalhista. Sob esses fundamentos, a SBDI-I, por maioria, conheceu dos embargos, vencido o Ministro Aloysio Corrêa da Veiga. No mérito, também por maioria, a Subseção deu provimento ao recurso para, reformado o acórdão turmário, excluir da condenação o pagamento da multa de 20% para o caso de não pagamento ou de ausência de garantia da execução no prazo de 48 horas. Vencidos os Ministros Augusto César Leite de Carvalho, José Roberto Freire Pimenta e Alexandre Agra Belmonte. </w:t>
      </w:r>
      <w:hyperlink r:id="rId11" w:history="1">
        <w:r w:rsidRPr="008A0E41">
          <w:rPr>
            <w:rStyle w:val="Hyperlink"/>
            <w:rFonts w:ascii="Times New Roman" w:hAnsi="Times New Roman" w:cs="Courier New"/>
            <w:lang w:val="pt-BR"/>
          </w:rPr>
          <w:t>TST-E-ED-RR-1228-29.2011.5.08.0114</w:t>
        </w:r>
      </w:hyperlink>
      <w:r w:rsidRPr="00AF528F">
        <w:rPr>
          <w:rFonts w:ascii="Times New Roman" w:hAnsi="Times New Roman"/>
          <w:color w:val="auto"/>
          <w:u w:val="single"/>
          <w:lang w:val="pt-BR"/>
        </w:rPr>
        <w:t xml:space="preserve">, SBDI-I, rel. Min. </w:t>
      </w:r>
      <w:r>
        <w:rPr>
          <w:rFonts w:ascii="Times New Roman" w:hAnsi="Times New Roman"/>
          <w:color w:val="auto"/>
          <w:u w:val="single"/>
          <w:lang w:val="pt-BR"/>
        </w:rPr>
        <w:t xml:space="preserve">Guilherme Augusto </w:t>
      </w:r>
      <w:r w:rsidRPr="00AF528F">
        <w:rPr>
          <w:rFonts w:ascii="Times New Roman" w:hAnsi="Times New Roman"/>
          <w:color w:val="auto"/>
          <w:u w:val="single"/>
          <w:lang w:val="pt-BR"/>
        </w:rPr>
        <w:t>Caputo Bastos, 26.11.2015</w:t>
      </w:r>
    </w:p>
    <w:p w:rsidR="000B3BE1" w:rsidRPr="00E73DEC" w:rsidRDefault="000B3BE1">
      <w:pPr>
        <w:jc w:val="both"/>
        <w:rPr>
          <w:u w:val="single"/>
        </w:rPr>
      </w:pPr>
    </w:p>
    <w:p w:rsidR="00E73DEC" w:rsidRPr="00971E07" w:rsidRDefault="00E73DEC" w:rsidP="00E73DEC">
      <w:pPr>
        <w:pStyle w:val="Corpo"/>
        <w:pBdr>
          <w:top w:val="single" w:sz="4" w:space="1" w:color="auto"/>
          <w:left w:val="single" w:sz="4" w:space="4" w:color="auto"/>
          <w:bottom w:val="single" w:sz="4" w:space="1" w:color="auto"/>
          <w:right w:val="single" w:sz="4" w:space="4" w:color="auto"/>
        </w:pBdr>
        <w:shd w:val="clear" w:color="auto" w:fill="E5B8B7"/>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434655" w:rsidRPr="00E73DEC" w:rsidRDefault="00434655">
      <w:pPr>
        <w:jc w:val="both"/>
        <w:rPr>
          <w:u w:val="single"/>
        </w:rPr>
      </w:pPr>
    </w:p>
    <w:p w:rsidR="00E73DEC" w:rsidRDefault="00E73DEC" w:rsidP="00E73DEC">
      <w:pPr>
        <w:jc w:val="both"/>
        <w:rPr>
          <w:b/>
          <w:i/>
          <w:sz w:val="24"/>
          <w:szCs w:val="24"/>
        </w:rPr>
      </w:pPr>
      <w:r>
        <w:rPr>
          <w:b/>
          <w:i/>
          <w:sz w:val="24"/>
          <w:szCs w:val="24"/>
        </w:rPr>
        <w:t xml:space="preserve">Conflito positivo de competência. Execução. Carta precatória. Requerimento de alienação judicial perante o Juízo deprecante. Impossibilidade. Competência do Juízo deprecado. Art. 658 do CPC. </w:t>
      </w:r>
    </w:p>
    <w:p w:rsidR="00E73DEC" w:rsidRDefault="00E73DEC" w:rsidP="00E73DEC">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Na execução por carta precatória, os atos de penhora, avaliação e expropriação de bem imóvel submetido à jurisdição distinta do local da execução são de competência do Juízo deprecado, na forma preconizada pelo art. 658 do CPC. Na espécie, foi solicitada a devolução de carta precatória em razão da existência de requerimento de venda judicial do bem penhorado, com o qual havia concordado a empresa executada, mediante o pagamento da quantia de R$ 290.000,00 (duzentos e noventa mil reais). Ocorre que o imóvel penhorado fora avaliado em R$ 11.000.000,00 (onze milhões de reais) perante o Juízo deprecado, tendo este, inclusive, recusado uma proposta de arrematação apresentada em hasta pública no valor de R$ 6.000.000,00 (seis milhões de reais), para pagamento parcelado. Assim, não há razão para a devolução da carta precatória, cabendo ao Juízo deprecado apreciar o pedido de aquisição do bem penhorado. Sob esse entendimento, a SBDI-II, por unanimidade, admitiu</w:t>
      </w:r>
      <w:r w:rsidRPr="00D91A18">
        <w:rPr>
          <w:rFonts w:ascii="Times New Roman" w:eastAsia="Calibri" w:hAnsi="Times New Roman" w:cs="Times New Roman"/>
          <w:color w:val="auto"/>
          <w:lang w:val="pt-BR" w:eastAsia="en-US"/>
        </w:rPr>
        <w:t xml:space="preserve"> o conflito positivo de competência para declarar a competência do Juízo deprecado. </w:t>
      </w:r>
      <w:hyperlink r:id="rId12" w:history="1">
        <w:r w:rsidRPr="008A0E41">
          <w:rPr>
            <w:rStyle w:val="Hyperlink"/>
            <w:rFonts w:ascii="Times New Roman" w:hAnsi="Times New Roman" w:cs="Courier New"/>
            <w:lang w:val="pt-BR"/>
          </w:rPr>
          <w:t>TST-CC-474-52.2013.5.08.0103</w:t>
        </w:r>
      </w:hyperlink>
      <w:r>
        <w:rPr>
          <w:rFonts w:ascii="Times New Roman" w:hAnsi="Times New Roman"/>
          <w:u w:val="single"/>
          <w:lang w:val="pt-BR"/>
        </w:rPr>
        <w:t>, SB</w:t>
      </w:r>
      <w:r w:rsidRPr="00895CC6">
        <w:rPr>
          <w:rFonts w:ascii="Times New Roman" w:hAnsi="Times New Roman"/>
          <w:u w:val="single"/>
          <w:lang w:val="pt-BR"/>
        </w:rPr>
        <w:t>DI-</w:t>
      </w:r>
      <w:r>
        <w:rPr>
          <w:rFonts w:ascii="Times New Roman" w:hAnsi="Times New Roman"/>
          <w:u w:val="single"/>
          <w:lang w:val="pt-BR"/>
        </w:rPr>
        <w:t>II</w:t>
      </w:r>
      <w:r w:rsidRPr="00895CC6">
        <w:rPr>
          <w:rFonts w:ascii="Times New Roman" w:hAnsi="Times New Roman"/>
          <w:u w:val="single"/>
          <w:lang w:val="pt-BR"/>
        </w:rPr>
        <w:t xml:space="preserve">, rel. Min. </w:t>
      </w:r>
      <w:r>
        <w:rPr>
          <w:rFonts w:ascii="Times New Roman" w:hAnsi="Times New Roman"/>
          <w:u w:val="single"/>
          <w:lang w:val="pt-BR"/>
        </w:rPr>
        <w:t>Douglas Alencar Rodrigues</w:t>
      </w:r>
      <w:r w:rsidRPr="00895CC6">
        <w:rPr>
          <w:rFonts w:ascii="Times New Roman" w:hAnsi="Times New Roman"/>
          <w:u w:val="single"/>
          <w:lang w:val="pt-BR"/>
        </w:rPr>
        <w:t>, 2</w:t>
      </w:r>
      <w:r>
        <w:rPr>
          <w:rFonts w:ascii="Times New Roman" w:hAnsi="Times New Roman"/>
          <w:u w:val="single"/>
          <w:lang w:val="pt-BR"/>
        </w:rPr>
        <w:t>4.11</w:t>
      </w:r>
      <w:r w:rsidRPr="00895CC6">
        <w:rPr>
          <w:rFonts w:ascii="Times New Roman" w:hAnsi="Times New Roman"/>
          <w:u w:val="single"/>
          <w:lang w:val="pt-BR"/>
        </w:rPr>
        <w:t>.201</w:t>
      </w:r>
      <w:r>
        <w:rPr>
          <w:rFonts w:ascii="Times New Roman" w:hAnsi="Times New Roman"/>
          <w:u w:val="single"/>
          <w:lang w:val="pt-BR"/>
        </w:rPr>
        <w:t>5</w:t>
      </w:r>
    </w:p>
    <w:p w:rsidR="00E73DEC" w:rsidRDefault="00E73DEC" w:rsidP="00E73DEC">
      <w:pPr>
        <w:pStyle w:val="Corpo"/>
        <w:spacing w:line="240" w:lineRule="auto"/>
        <w:ind w:firstLine="0"/>
        <w:rPr>
          <w:rFonts w:ascii="Times New Roman" w:hAnsi="Times New Roman"/>
          <w:u w:val="single"/>
          <w:lang w:val="pt-BR"/>
        </w:rPr>
      </w:pPr>
    </w:p>
    <w:p w:rsidR="00E73DEC" w:rsidRDefault="00E73DEC" w:rsidP="00E73DEC">
      <w:pPr>
        <w:pStyle w:val="Corpo"/>
        <w:spacing w:line="240" w:lineRule="auto"/>
        <w:ind w:firstLine="0"/>
        <w:rPr>
          <w:rFonts w:ascii="Times New Roman" w:hAnsi="Times New Roman"/>
          <w:u w:val="single"/>
          <w:lang w:val="pt-BR"/>
        </w:rPr>
      </w:pPr>
    </w:p>
    <w:p w:rsidR="00E73DEC" w:rsidRDefault="00E73DEC" w:rsidP="00E73DEC">
      <w:pPr>
        <w:pStyle w:val="Corpo"/>
        <w:spacing w:line="240" w:lineRule="auto"/>
        <w:ind w:firstLine="0"/>
        <w:rPr>
          <w:rFonts w:ascii="Times New Roman" w:hAnsi="Times New Roman"/>
          <w:u w:val="single"/>
          <w:lang w:val="pt-BR"/>
        </w:rPr>
      </w:pPr>
    </w:p>
    <w:p w:rsidR="00434655" w:rsidRPr="005D1DE4" w:rsidRDefault="00434655">
      <w:pPr>
        <w:jc w:val="both"/>
        <w:rPr>
          <w:sz w:val="22"/>
          <w:szCs w:val="22"/>
          <w:u w:val="single"/>
        </w:rPr>
      </w:pPr>
    </w:p>
    <w:p w:rsidR="00F7499A" w:rsidRDefault="00184590"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 xml:space="preserve">Informativo TST </w:t>
      </w:r>
      <w:r w:rsidR="005E1A86" w:rsidRPr="005E1A86">
        <w:rPr>
          <w:b w:val="0"/>
          <w:bCs w:val="0"/>
          <w:snapToGrid w:val="0"/>
          <w:sz w:val="20"/>
          <w:szCs w:val="20"/>
        </w:rPr>
        <w:t>Execução</w:t>
      </w:r>
      <w:r w:rsidR="005E1A86">
        <w:rPr>
          <w:b w:val="0"/>
          <w:bCs w:val="0"/>
          <w:snapToGrid w:val="0"/>
          <w:sz w:val="20"/>
          <w:szCs w:val="20"/>
        </w:rPr>
        <w:t xml:space="preserve"> </w:t>
      </w:r>
      <w:r w:rsidRPr="005D1DE4">
        <w:rPr>
          <w:b w:val="0"/>
          <w:bCs w:val="0"/>
          <w:snapToGrid w:val="0"/>
          <w:sz w:val="20"/>
          <w:szCs w:val="20"/>
        </w:rPr>
        <w:t>é</w:t>
      </w:r>
      <w:r w:rsidR="00F7499A">
        <w:rPr>
          <w:b w:val="0"/>
          <w:bCs w:val="0"/>
          <w:snapToGrid w:val="0"/>
          <w:sz w:val="20"/>
          <w:szCs w:val="20"/>
        </w:rPr>
        <w:t xml:space="preserve"> uma iniciativa da </w:t>
      </w:r>
    </w:p>
    <w:p w:rsidR="00F7499A" w:rsidRDefault="00F7499A"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Pr>
          <w:b w:val="0"/>
          <w:bCs w:val="0"/>
          <w:snapToGrid w:val="0"/>
          <w:sz w:val="20"/>
          <w:szCs w:val="20"/>
        </w:rPr>
        <w:t>Comissão Nacional de Efetividade de Execução Trabalhista,</w:t>
      </w:r>
      <w:r w:rsidR="00184590" w:rsidRPr="005D1DE4">
        <w:rPr>
          <w:b w:val="0"/>
          <w:bCs w:val="0"/>
          <w:snapToGrid w:val="0"/>
          <w:sz w:val="20"/>
          <w:szCs w:val="20"/>
        </w:rPr>
        <w:t xml:space="preserve"> </w:t>
      </w:r>
    </w:p>
    <w:p w:rsidR="00184590" w:rsidRPr="005D1DE4" w:rsidRDefault="00184590" w:rsidP="00F7499A">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mantido pela Coordenadoria de Jurisprudência – CJUR</w:t>
      </w:r>
    </w:p>
    <w:p w:rsidR="00184590"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sz w:val="22"/>
          <w:szCs w:val="22"/>
        </w:rPr>
      </w:pPr>
      <w:r w:rsidRPr="005D1DE4">
        <w:rPr>
          <w:snapToGrid w:val="0"/>
        </w:rPr>
        <w:t>cjur@tst.jus.br</w:t>
      </w:r>
    </w:p>
    <w:sectPr w:rsidR="007614F1" w:rsidRPr="005D1DE4"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C6" w:rsidRDefault="00277CC6">
      <w:r>
        <w:separator/>
      </w:r>
    </w:p>
  </w:endnote>
  <w:endnote w:type="continuationSeparator" w:id="0">
    <w:p w:rsidR="00277CC6" w:rsidRDefault="0027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5BDD">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6C5BDD">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C6" w:rsidRDefault="00277CC6">
      <w:r>
        <w:separator/>
      </w:r>
    </w:p>
  </w:footnote>
  <w:footnote w:type="continuationSeparator" w:id="0">
    <w:p w:rsidR="00277CC6" w:rsidRDefault="00277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20DC8">
      <w:rPr>
        <w:shadow/>
        <w:sz w:val="24"/>
        <w:szCs w:val="24"/>
      </w:rPr>
      <w:t>20</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C20DC8">
      <w:rPr>
        <w:sz w:val="20"/>
        <w:szCs w:val="20"/>
      </w:rPr>
      <w:t xml:space="preserve">17 de novembro a 7 de dezembro de </w:t>
    </w:r>
    <w:r w:rsidR="00FE00AD" w:rsidRPr="00971E07">
      <w:rPr>
        <w:sz w:val="20"/>
        <w:szCs w:val="20"/>
      </w:rPr>
      <w:t>20</w:t>
    </w:r>
    <w:r w:rsidR="00E16E01" w:rsidRPr="00971E07">
      <w:rPr>
        <w:sz w:val="20"/>
        <w:szCs w:val="20"/>
      </w:rPr>
      <w:t>1</w:t>
    </w:r>
    <w:r w:rsidR="00C20DC8">
      <w:rPr>
        <w:sz w:val="20"/>
        <w:szCs w:val="20"/>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rsidP="008C1F97">
    <w:pPr>
      <w:pStyle w:val="Cabealho"/>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r w:rsidR="0001157D">
      <w:tab/>
    </w:r>
    <w:r w:rsidR="0001157D">
      <w:tab/>
    </w:r>
    <w:r w:rsidR="008C1F97">
      <w:t xml:space="preserve">    </w:t>
    </w:r>
    <w:r w:rsidR="0001157D" w:rsidRPr="0001157D">
      <w:rPr>
        <w:rFonts w:ascii="Lucida Handwriting" w:hAnsi="Lucida Handwriting"/>
        <w:color w:val="FF0000"/>
        <w:sz w:val="40"/>
        <w:szCs w:val="40"/>
      </w:rPr>
      <w:t>Execução</w:t>
    </w:r>
    <w:r w:rsidR="0001157D" w:rsidRPr="0001157D">
      <w:rPr>
        <w:rFonts w:ascii="Lucida Handwriting" w:hAnsi="Lucida Handwriting"/>
        <w:sz w:val="40"/>
        <w:szCs w:val="40"/>
      </w:rPr>
      <w:t xml:space="preserve"> </w:t>
    </w:r>
    <w:r w:rsidR="0001157D">
      <w:t xml:space="preserve">                                                                                                                                               </w: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E73DEC">
      <w:rPr>
        <w:b/>
        <w:sz w:val="40"/>
        <w:szCs w:val="40"/>
      </w:rPr>
      <w:t>20</w:t>
    </w:r>
  </w:p>
  <w:p w:rsidR="005221E4" w:rsidRPr="005D1DE4" w:rsidRDefault="005221E4" w:rsidP="005221E4">
    <w:pPr>
      <w:pStyle w:val="Cabealho"/>
      <w:jc w:val="right"/>
    </w:pPr>
    <w:r>
      <w:rPr>
        <w:i/>
        <w:iCs/>
      </w:rPr>
      <w:t xml:space="preserve">Período: </w:t>
    </w:r>
    <w:r w:rsidR="008547E5">
      <w:rPr>
        <w:i/>
        <w:iCs/>
      </w:rPr>
      <w:t>1</w:t>
    </w:r>
    <w:r w:rsidR="00E73DEC">
      <w:rPr>
        <w:i/>
        <w:iCs/>
      </w:rPr>
      <w:t>7</w:t>
    </w:r>
    <w:r w:rsidR="008547E5">
      <w:rPr>
        <w:i/>
        <w:iCs/>
      </w:rPr>
      <w:t xml:space="preserve"> de novembro</w:t>
    </w:r>
    <w:r w:rsidR="00E73DEC">
      <w:rPr>
        <w:i/>
        <w:iCs/>
      </w:rPr>
      <w:t xml:space="preserve"> a </w:t>
    </w:r>
    <w:r w:rsidR="00C1089B">
      <w:rPr>
        <w:i/>
        <w:iCs/>
      </w:rPr>
      <w:t xml:space="preserve">7 </w:t>
    </w:r>
    <w:r w:rsidR="00E73DEC">
      <w:rPr>
        <w:i/>
        <w:iCs/>
      </w:rPr>
      <w:t>de dezembro</w:t>
    </w:r>
    <w:r w:rsidR="008547E5">
      <w:rPr>
        <w:i/>
        <w:iCs/>
      </w:rPr>
      <w:t xml:space="preserve"> de 2015</w:t>
    </w:r>
  </w:p>
  <w:p w:rsidR="00FE00AD" w:rsidRPr="005D1DE4" w:rsidRDefault="00FE00AD">
    <w:pPr>
      <w:pStyle w:val="Cabealho"/>
      <w:jc w:val="right"/>
      <w:rPr>
        <w:i/>
        <w:iCs/>
        <w:sz w:val="10"/>
        <w:szCs w:val="10"/>
      </w:rPr>
    </w:pP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04F4E"/>
    <w:rsid w:val="0001157D"/>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3BE1"/>
    <w:rsid w:val="000B4D41"/>
    <w:rsid w:val="000B67DF"/>
    <w:rsid w:val="000B7CDE"/>
    <w:rsid w:val="000C3022"/>
    <w:rsid w:val="000C672B"/>
    <w:rsid w:val="000E0A91"/>
    <w:rsid w:val="000E0B8C"/>
    <w:rsid w:val="00110AE4"/>
    <w:rsid w:val="0011575C"/>
    <w:rsid w:val="0011692E"/>
    <w:rsid w:val="00137564"/>
    <w:rsid w:val="00137DC1"/>
    <w:rsid w:val="001418E3"/>
    <w:rsid w:val="0015612D"/>
    <w:rsid w:val="001655D0"/>
    <w:rsid w:val="00176D15"/>
    <w:rsid w:val="00184590"/>
    <w:rsid w:val="00187762"/>
    <w:rsid w:val="00187A37"/>
    <w:rsid w:val="0019151D"/>
    <w:rsid w:val="00193208"/>
    <w:rsid w:val="0019725D"/>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77CC6"/>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40C8"/>
    <w:rsid w:val="00396053"/>
    <w:rsid w:val="003A4086"/>
    <w:rsid w:val="003A5E5B"/>
    <w:rsid w:val="003A75E8"/>
    <w:rsid w:val="003B045C"/>
    <w:rsid w:val="003B0A59"/>
    <w:rsid w:val="003B3EB5"/>
    <w:rsid w:val="003B4E23"/>
    <w:rsid w:val="003B767E"/>
    <w:rsid w:val="003C6FE7"/>
    <w:rsid w:val="003D032E"/>
    <w:rsid w:val="003D399C"/>
    <w:rsid w:val="003D4205"/>
    <w:rsid w:val="003F2078"/>
    <w:rsid w:val="003F49C6"/>
    <w:rsid w:val="0042772A"/>
    <w:rsid w:val="0042781A"/>
    <w:rsid w:val="004323B0"/>
    <w:rsid w:val="00434655"/>
    <w:rsid w:val="004407B4"/>
    <w:rsid w:val="00444C71"/>
    <w:rsid w:val="00444E88"/>
    <w:rsid w:val="0045657C"/>
    <w:rsid w:val="004655CC"/>
    <w:rsid w:val="00466DB9"/>
    <w:rsid w:val="00474C4A"/>
    <w:rsid w:val="00486521"/>
    <w:rsid w:val="00486DFC"/>
    <w:rsid w:val="004922D6"/>
    <w:rsid w:val="004A14FC"/>
    <w:rsid w:val="004A5264"/>
    <w:rsid w:val="004B21AD"/>
    <w:rsid w:val="004C011C"/>
    <w:rsid w:val="004C14EA"/>
    <w:rsid w:val="004C2118"/>
    <w:rsid w:val="004C2612"/>
    <w:rsid w:val="004D2DB8"/>
    <w:rsid w:val="004D6000"/>
    <w:rsid w:val="004D6415"/>
    <w:rsid w:val="004D71E8"/>
    <w:rsid w:val="004E393E"/>
    <w:rsid w:val="004E4507"/>
    <w:rsid w:val="004E4619"/>
    <w:rsid w:val="004F0A7D"/>
    <w:rsid w:val="0051538E"/>
    <w:rsid w:val="00517E01"/>
    <w:rsid w:val="00521EEC"/>
    <w:rsid w:val="005221E4"/>
    <w:rsid w:val="005460BD"/>
    <w:rsid w:val="00553197"/>
    <w:rsid w:val="0055409E"/>
    <w:rsid w:val="00556367"/>
    <w:rsid w:val="00556B35"/>
    <w:rsid w:val="00573E13"/>
    <w:rsid w:val="00584F82"/>
    <w:rsid w:val="00591DFA"/>
    <w:rsid w:val="00594EA8"/>
    <w:rsid w:val="005A5695"/>
    <w:rsid w:val="005A779D"/>
    <w:rsid w:val="005B2F00"/>
    <w:rsid w:val="005B57DE"/>
    <w:rsid w:val="005C1886"/>
    <w:rsid w:val="005C761E"/>
    <w:rsid w:val="005D0E5F"/>
    <w:rsid w:val="005D1DE4"/>
    <w:rsid w:val="005D4F86"/>
    <w:rsid w:val="005E1A86"/>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672C1"/>
    <w:rsid w:val="00672CF9"/>
    <w:rsid w:val="00672E11"/>
    <w:rsid w:val="0068273B"/>
    <w:rsid w:val="00691234"/>
    <w:rsid w:val="006931CC"/>
    <w:rsid w:val="006947F2"/>
    <w:rsid w:val="00697919"/>
    <w:rsid w:val="006B0315"/>
    <w:rsid w:val="006B3FCF"/>
    <w:rsid w:val="006B46CA"/>
    <w:rsid w:val="006C0391"/>
    <w:rsid w:val="006C28B3"/>
    <w:rsid w:val="006C5BDD"/>
    <w:rsid w:val="006D1F66"/>
    <w:rsid w:val="006D306E"/>
    <w:rsid w:val="006D4497"/>
    <w:rsid w:val="006F6C15"/>
    <w:rsid w:val="0070727E"/>
    <w:rsid w:val="00710D3A"/>
    <w:rsid w:val="0071315F"/>
    <w:rsid w:val="00721942"/>
    <w:rsid w:val="00722967"/>
    <w:rsid w:val="00722BE7"/>
    <w:rsid w:val="00732DF2"/>
    <w:rsid w:val="007614F1"/>
    <w:rsid w:val="007618C5"/>
    <w:rsid w:val="00763644"/>
    <w:rsid w:val="00764066"/>
    <w:rsid w:val="00776118"/>
    <w:rsid w:val="007767E8"/>
    <w:rsid w:val="00792542"/>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7E5"/>
    <w:rsid w:val="00854DB8"/>
    <w:rsid w:val="00854EF2"/>
    <w:rsid w:val="00863B86"/>
    <w:rsid w:val="00871F69"/>
    <w:rsid w:val="008842D0"/>
    <w:rsid w:val="00884AC4"/>
    <w:rsid w:val="0088579D"/>
    <w:rsid w:val="008A0E41"/>
    <w:rsid w:val="008A7953"/>
    <w:rsid w:val="008B3081"/>
    <w:rsid w:val="008B32D4"/>
    <w:rsid w:val="008C1F97"/>
    <w:rsid w:val="008D0020"/>
    <w:rsid w:val="008D3C38"/>
    <w:rsid w:val="008D6A05"/>
    <w:rsid w:val="008E2AE5"/>
    <w:rsid w:val="008E3F89"/>
    <w:rsid w:val="008F26CB"/>
    <w:rsid w:val="008F4AEC"/>
    <w:rsid w:val="008F6509"/>
    <w:rsid w:val="008F79D9"/>
    <w:rsid w:val="009027C8"/>
    <w:rsid w:val="00913D22"/>
    <w:rsid w:val="00930E93"/>
    <w:rsid w:val="0093467A"/>
    <w:rsid w:val="0094155C"/>
    <w:rsid w:val="00943437"/>
    <w:rsid w:val="00951531"/>
    <w:rsid w:val="00952ED9"/>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007E0"/>
    <w:rsid w:val="00A1108F"/>
    <w:rsid w:val="00A32FBF"/>
    <w:rsid w:val="00A407EA"/>
    <w:rsid w:val="00A51749"/>
    <w:rsid w:val="00A521B6"/>
    <w:rsid w:val="00A56962"/>
    <w:rsid w:val="00A6412C"/>
    <w:rsid w:val="00A73C7A"/>
    <w:rsid w:val="00A75419"/>
    <w:rsid w:val="00A76661"/>
    <w:rsid w:val="00A76D2A"/>
    <w:rsid w:val="00A82081"/>
    <w:rsid w:val="00A8557E"/>
    <w:rsid w:val="00A91181"/>
    <w:rsid w:val="00A935AC"/>
    <w:rsid w:val="00AA4939"/>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619B3"/>
    <w:rsid w:val="00B73FFA"/>
    <w:rsid w:val="00B76A85"/>
    <w:rsid w:val="00B819BC"/>
    <w:rsid w:val="00B874F1"/>
    <w:rsid w:val="00BC1DE7"/>
    <w:rsid w:val="00BC5AEE"/>
    <w:rsid w:val="00BD6029"/>
    <w:rsid w:val="00BE0541"/>
    <w:rsid w:val="00BE1ADB"/>
    <w:rsid w:val="00C070DE"/>
    <w:rsid w:val="00C1089B"/>
    <w:rsid w:val="00C20DC8"/>
    <w:rsid w:val="00C26DFB"/>
    <w:rsid w:val="00C273FA"/>
    <w:rsid w:val="00C30D06"/>
    <w:rsid w:val="00C35E04"/>
    <w:rsid w:val="00C42067"/>
    <w:rsid w:val="00C432D0"/>
    <w:rsid w:val="00C4398E"/>
    <w:rsid w:val="00C4737F"/>
    <w:rsid w:val="00C60B4A"/>
    <w:rsid w:val="00C62C5E"/>
    <w:rsid w:val="00C65BDB"/>
    <w:rsid w:val="00C71A3B"/>
    <w:rsid w:val="00C76CFA"/>
    <w:rsid w:val="00C963F8"/>
    <w:rsid w:val="00C96BB1"/>
    <w:rsid w:val="00CA1806"/>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1702"/>
    <w:rsid w:val="00E432CC"/>
    <w:rsid w:val="00E50711"/>
    <w:rsid w:val="00E60EDA"/>
    <w:rsid w:val="00E62BBC"/>
    <w:rsid w:val="00E73DE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31D0C"/>
    <w:rsid w:val="00F402B4"/>
    <w:rsid w:val="00F511EE"/>
    <w:rsid w:val="00F511F9"/>
    <w:rsid w:val="00F558E7"/>
    <w:rsid w:val="00F57F9E"/>
    <w:rsid w:val="00F62016"/>
    <w:rsid w:val="00F63F44"/>
    <w:rsid w:val="00F6746D"/>
    <w:rsid w:val="00F7499A"/>
    <w:rsid w:val="00F760B5"/>
    <w:rsid w:val="00F811CD"/>
    <w:rsid w:val="00F82D8F"/>
    <w:rsid w:val="00F83F62"/>
    <w:rsid w:val="00F9711D"/>
    <w:rsid w:val="00F97550"/>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styleId="HiperlinkVisitado">
    <w:name w:val="FollowedHyperlink"/>
    <w:uiPriority w:val="99"/>
    <w:semiHidden/>
    <w:unhideWhenUsed/>
    <w:rsid w:val="00F31D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4484&amp;digitoTst=80&amp;anoTst=2012&amp;orgaoTst=5&amp;tribunalTst=12&amp;varaTst=000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474&amp;digitoTst=52&amp;anoTst=2013&amp;orgaoTst=5&amp;tribunalTst=08&amp;varaTst=01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1228&amp;digitoTst=29&amp;anoTst=2011&amp;orgaoTst=5&amp;tribunalTst=08&amp;varaTst=01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9091200&amp;digitoTst=66&amp;anoTst=1991&amp;orgaoTst=5&amp;tribunalTst=04&amp;varaTst=0016"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0247&amp;digitoTst=58&amp;anoTst=2010&amp;orgaoTst=5&amp;tribunalTst=04&amp;varaTst=000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438F-198D-4404-8D76-79A98733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1325</Words>
  <Characters>7155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8464</CharactersWithSpaces>
  <SharedDoc>false</SharedDoc>
  <HLinks>
    <vt:vector size="30" baseType="variant">
      <vt:variant>
        <vt:i4>5308427</vt:i4>
      </vt:variant>
      <vt:variant>
        <vt:i4>12</vt:i4>
      </vt:variant>
      <vt:variant>
        <vt:i4>0</vt:i4>
      </vt:variant>
      <vt:variant>
        <vt:i4>5</vt:i4>
      </vt:variant>
      <vt:variant>
        <vt:lpwstr>http://aplicacao4.tst.jus.br/consultaProcessual/consultaTstNumUnica.do?consulta=Consultar&amp;conscsjt=&amp;numeroTst=474&amp;digitoTst=52&amp;anoTst=2013&amp;orgaoTst=5&amp;tribunalTst=08&amp;varaTst=0103</vt:lpwstr>
      </vt:variant>
      <vt:variant>
        <vt:lpwstr/>
      </vt:variant>
      <vt:variant>
        <vt:i4>3080304</vt:i4>
      </vt:variant>
      <vt:variant>
        <vt:i4>9</vt:i4>
      </vt:variant>
      <vt:variant>
        <vt:i4>0</vt:i4>
      </vt:variant>
      <vt:variant>
        <vt:i4>5</vt:i4>
      </vt:variant>
      <vt:variant>
        <vt:lpwstr>http://aplicacao4.tst.jus.br/consultaProcessual/consultaTstNumUnica.do?consulta=Consultar&amp;conscsjt=&amp;numeroTst=1228&amp;digitoTst=29&amp;anoTst=2011&amp;orgaoTst=5&amp;tribunalTst=08&amp;varaTst=0114</vt:lpwstr>
      </vt:variant>
      <vt:variant>
        <vt:lpwstr/>
      </vt:variant>
      <vt:variant>
        <vt:i4>5570560</vt:i4>
      </vt:variant>
      <vt:variant>
        <vt:i4>6</vt:i4>
      </vt:variant>
      <vt:variant>
        <vt:i4>0</vt:i4>
      </vt:variant>
      <vt:variant>
        <vt:i4>5</vt:i4>
      </vt:variant>
      <vt:variant>
        <vt:lpwstr>http://aplicacao4.tst.jus.br/consultaProcessual/consultaTstNumUnica.do?consulta=Consultar&amp;conscsjt=&amp;numeroTst=9091200&amp;digitoTst=66&amp;anoTst=1991&amp;orgaoTst=5&amp;tribunalTst=04&amp;varaTst=0016</vt:lpwstr>
      </vt:variant>
      <vt:variant>
        <vt:lpwstr/>
      </vt:variant>
      <vt:variant>
        <vt:i4>6750270</vt:i4>
      </vt:variant>
      <vt:variant>
        <vt:i4>3</vt:i4>
      </vt:variant>
      <vt:variant>
        <vt:i4>0</vt:i4>
      </vt:variant>
      <vt:variant>
        <vt:i4>5</vt:i4>
      </vt:variant>
      <vt:variant>
        <vt:lpwstr>http://aplicacao4.tst.jus.br/consultaProcessual/consultaTstNumUnica.do?consulta=Consultar&amp;conscsjt=&amp;numeroTst=10247&amp;digitoTst=58&amp;anoTst=2010&amp;orgaoTst=5&amp;tribunalTst=04&amp;varaTst=0000</vt:lpwstr>
      </vt:variant>
      <vt:variant>
        <vt:lpwstr/>
      </vt:variant>
      <vt:variant>
        <vt:i4>2752638</vt:i4>
      </vt:variant>
      <vt:variant>
        <vt:i4>0</vt:i4>
      </vt:variant>
      <vt:variant>
        <vt:i4>0</vt:i4>
      </vt:variant>
      <vt:variant>
        <vt:i4>5</vt:i4>
      </vt:variant>
      <vt:variant>
        <vt:lpwstr>http://aplicacao4.tst.jus.br/consultaProcessual/consultaTstNumUnica.do?consulta=Consultar&amp;conscsjt=&amp;numeroTst=4484&amp;digitoTst=80&amp;anoTst=2012&amp;orgaoTst=5&amp;tribunalTst=12&amp;varaTst=0001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2015-09-28T17:11:00Z</cp:lastPrinted>
  <dcterms:created xsi:type="dcterms:W3CDTF">2018-06-27T21:49:00Z</dcterms:created>
  <dcterms:modified xsi:type="dcterms:W3CDTF">2018-06-27T21:49:00Z</dcterms:modified>
</cp:coreProperties>
</file>