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9E69D9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FA5B3C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20"/>
          <w:szCs w:val="20"/>
        </w:rPr>
      </w:pPr>
    </w:p>
    <w:p w:rsidR="009E69D9" w:rsidRPr="004068E6" w:rsidRDefault="009E69D9" w:rsidP="009E69D9">
      <w:pPr>
        <w:ind w:right="-1"/>
        <w:jc w:val="both"/>
        <w:rPr>
          <w:b/>
          <w:i/>
          <w:sz w:val="24"/>
          <w:szCs w:val="24"/>
        </w:rPr>
      </w:pPr>
      <w:r w:rsidRPr="004068E6">
        <w:rPr>
          <w:b/>
          <w:i/>
          <w:sz w:val="24"/>
          <w:szCs w:val="24"/>
        </w:rPr>
        <w:t>Execução. Expropriação de bem dado em garantia. Transferência de valores remanescentes para execuções movidas contra empresa</w:t>
      </w:r>
      <w:r>
        <w:rPr>
          <w:b/>
          <w:i/>
          <w:sz w:val="24"/>
          <w:szCs w:val="24"/>
        </w:rPr>
        <w:t xml:space="preserve"> diversa</w:t>
      </w:r>
      <w:r w:rsidRPr="004068E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Necessidade de f</w:t>
      </w:r>
      <w:r w:rsidRPr="004068E6">
        <w:rPr>
          <w:b/>
          <w:i/>
          <w:sz w:val="24"/>
          <w:szCs w:val="24"/>
        </w:rPr>
        <w:t xml:space="preserve">ormação de grupo econômico ou existência de sucessão de empresas. </w:t>
      </w:r>
    </w:p>
    <w:p w:rsidR="009E69D9" w:rsidRDefault="009E69D9" w:rsidP="009E6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atenção ao devido processo legal, ao contraditório e à ampla defesa (arts. 5º, LIV e LV, da CF), </w:t>
      </w:r>
      <w:r w:rsidRPr="004068E6">
        <w:rPr>
          <w:sz w:val="24"/>
          <w:szCs w:val="24"/>
        </w:rPr>
        <w:t>não se pode admitir a sa</w:t>
      </w:r>
      <w:r>
        <w:rPr>
          <w:sz w:val="24"/>
          <w:szCs w:val="24"/>
        </w:rPr>
        <w:t>tisfação das dívidas de determinada empresa executada por meio</w:t>
      </w:r>
      <w:r w:rsidRPr="004068E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4068E6">
        <w:rPr>
          <w:sz w:val="24"/>
          <w:szCs w:val="24"/>
        </w:rPr>
        <w:t xml:space="preserve">a utilização de recursos financeiros advindos das sobras da expropriação de bem de </w:t>
      </w:r>
      <w:r>
        <w:rPr>
          <w:sz w:val="24"/>
          <w:szCs w:val="24"/>
        </w:rPr>
        <w:t>terceiros,</w:t>
      </w:r>
      <w:r w:rsidRPr="004068E6">
        <w:rPr>
          <w:sz w:val="24"/>
          <w:szCs w:val="24"/>
        </w:rPr>
        <w:t xml:space="preserve"> sem que tenha sido reconhecida, em cada execução trabalhista, a formação de grupo econômico ou a existência de sucessão </w:t>
      </w:r>
      <w:r>
        <w:rPr>
          <w:sz w:val="24"/>
          <w:szCs w:val="24"/>
        </w:rPr>
        <w:t>de empresas. No caso concreto, o Juízo da vara do trabalho determinara que os valores remanescentes nos autos de execução em que figuravam como executadas somente as empresas Áurea Palace Hotel e Áurea Empreendimentos Turísticos S.A., fossem repassados para execuções movidas contra Terra Turismo Ltda, sem que houvesse o reconhecimento de que entre as empresas configurou-se grupo econômico ou ocorreu sucessão. Com esse entendimento</w:t>
      </w:r>
      <w:r w:rsidRPr="004068E6">
        <w:rPr>
          <w:sz w:val="24"/>
          <w:szCs w:val="24"/>
        </w:rPr>
        <w:t>, a SBDI-</w:t>
      </w:r>
      <w:r>
        <w:rPr>
          <w:sz w:val="24"/>
          <w:szCs w:val="24"/>
        </w:rPr>
        <w:t xml:space="preserve">II, por unanimidade, </w:t>
      </w:r>
      <w:r w:rsidRPr="004068E6">
        <w:rPr>
          <w:sz w:val="24"/>
          <w:szCs w:val="24"/>
        </w:rPr>
        <w:t xml:space="preserve">conheceu da remessa necessária e, </w:t>
      </w:r>
      <w:r>
        <w:rPr>
          <w:sz w:val="24"/>
          <w:szCs w:val="24"/>
        </w:rPr>
        <w:t xml:space="preserve">no mérito, negou-lhe provimento. </w:t>
      </w:r>
      <w:hyperlink r:id="rId8" w:history="1">
        <w:r w:rsidRPr="00FA5B3C">
          <w:rPr>
            <w:rStyle w:val="Hyperlink"/>
            <w:sz w:val="24"/>
            <w:szCs w:val="24"/>
          </w:rPr>
          <w:t>TST-ReeNec-26800-89.2009.5.23.0000</w:t>
        </w:r>
      </w:hyperlink>
      <w:r w:rsidRPr="004068E6">
        <w:rPr>
          <w:sz w:val="24"/>
          <w:szCs w:val="24"/>
          <w:u w:val="single"/>
        </w:rPr>
        <w:t>, SBDI-II, rel. Min. Douglas Alencar Rodrigues, 14.4.2015</w:t>
      </w:r>
      <w:r>
        <w:rPr>
          <w:sz w:val="24"/>
          <w:szCs w:val="24"/>
        </w:rPr>
        <w:t xml:space="preserve"> </w:t>
      </w:r>
    </w:p>
    <w:p w:rsidR="004B21AD" w:rsidRPr="00FA5B3C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  <w:sz w:val="20"/>
          <w:szCs w:val="20"/>
        </w:rPr>
      </w:pPr>
    </w:p>
    <w:p w:rsidR="009E69D9" w:rsidRPr="00C44878" w:rsidRDefault="009E69D9" w:rsidP="009E69D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Execução provisória. Inaplicabilidade do art. 475-O do CPC. Incompatibilidade do levantamento do depósito recursal com o </w:t>
      </w:r>
      <w:r w:rsidR="00FA5B3C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 xml:space="preserve">rocesso do </w:t>
      </w:r>
      <w:r w:rsidR="00FA5B3C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rabalho. Existência de norma específica. Art. 899, </w:t>
      </w:r>
      <w:r w:rsidRPr="002604AA">
        <w:rPr>
          <w:i/>
          <w:sz w:val="24"/>
          <w:szCs w:val="24"/>
        </w:rPr>
        <w:t>caput</w:t>
      </w:r>
      <w:r w:rsidR="002604AA"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e §1º, da CLT.</w:t>
      </w:r>
    </w:p>
    <w:p w:rsidR="009E69D9" w:rsidRDefault="009E69D9" w:rsidP="009E69D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execução provisória de sentença trabalhista somente é permitida até a penhora, conforme o art. 899,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e § 1º, da CLT, de modo que a autorização judicial para o levantamento dos valores depositados, nos termos </w:t>
      </w:r>
      <w:r w:rsidR="002604AA">
        <w:rPr>
          <w:sz w:val="24"/>
          <w:szCs w:val="24"/>
        </w:rPr>
        <w:t>d</w:t>
      </w:r>
      <w:r>
        <w:rPr>
          <w:sz w:val="24"/>
          <w:szCs w:val="24"/>
        </w:rPr>
        <w:t xml:space="preserve">o art. 475-O do CPC, é incompatível com o </w:t>
      </w:r>
      <w:r w:rsidR="002604AA">
        <w:rPr>
          <w:sz w:val="24"/>
          <w:szCs w:val="24"/>
        </w:rPr>
        <w:t>P</w:t>
      </w:r>
      <w:r>
        <w:rPr>
          <w:sz w:val="24"/>
          <w:szCs w:val="24"/>
        </w:rPr>
        <w:t xml:space="preserve">rocesso do </w:t>
      </w:r>
      <w:r w:rsidR="002604AA">
        <w:rPr>
          <w:sz w:val="24"/>
          <w:szCs w:val="24"/>
        </w:rPr>
        <w:t>T</w:t>
      </w:r>
      <w:r>
        <w:rPr>
          <w:sz w:val="24"/>
          <w:szCs w:val="24"/>
        </w:rPr>
        <w:t xml:space="preserve">rabalho. Havendo regramento específico, a aplicação subsidiária da norma de processo civil não é admitida. Com esse entendimento, a SBDI-II, por unanimidade, conheceu do recurso ordinário e, no mérito, deu-lhe provimento para conceder a segurança pleiteada e determinar que a execução provisória seja processada nos moldes do art. 899 da CLT. </w:t>
      </w:r>
      <w:hyperlink r:id="rId9" w:history="1">
        <w:r w:rsidRPr="00FA5B3C">
          <w:rPr>
            <w:rStyle w:val="Hyperlink"/>
            <w:sz w:val="24"/>
            <w:szCs w:val="24"/>
          </w:rPr>
          <w:t>TST-RO-7284-66.2013.5.15.0000</w:t>
        </w:r>
      </w:hyperlink>
      <w:r>
        <w:rPr>
          <w:sz w:val="24"/>
          <w:szCs w:val="24"/>
          <w:u w:val="single"/>
        </w:rPr>
        <w:t>, SBDI-II, rel. Min. Douglas Alencar Rodrigues, 14.4.2015</w:t>
      </w:r>
    </w:p>
    <w:p w:rsidR="004B21AD" w:rsidRPr="00FA5B3C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  <w:sz w:val="20"/>
          <w:szCs w:val="20"/>
        </w:rPr>
      </w:pPr>
    </w:p>
    <w:p w:rsidR="009E69D9" w:rsidRPr="008642DE" w:rsidRDefault="009E69D9" w:rsidP="009E69D9">
      <w:pPr>
        <w:jc w:val="both"/>
        <w:rPr>
          <w:b/>
          <w:i/>
          <w:sz w:val="24"/>
          <w:szCs w:val="24"/>
        </w:rPr>
      </w:pPr>
      <w:r w:rsidRPr="008642DE">
        <w:rPr>
          <w:b/>
          <w:i/>
          <w:sz w:val="24"/>
          <w:szCs w:val="24"/>
        </w:rPr>
        <w:t xml:space="preserve">Mandado de </w:t>
      </w:r>
      <w:r>
        <w:rPr>
          <w:b/>
          <w:i/>
          <w:sz w:val="24"/>
          <w:szCs w:val="24"/>
        </w:rPr>
        <w:t>s</w:t>
      </w:r>
      <w:r w:rsidRPr="008642DE">
        <w:rPr>
          <w:b/>
          <w:i/>
          <w:sz w:val="24"/>
          <w:szCs w:val="24"/>
        </w:rPr>
        <w:t xml:space="preserve">egurança. </w:t>
      </w:r>
      <w:r>
        <w:rPr>
          <w:b/>
          <w:i/>
          <w:sz w:val="24"/>
          <w:szCs w:val="24"/>
        </w:rPr>
        <w:t>Exame do acervo probatório produzido</w:t>
      </w:r>
      <w:r w:rsidRPr="008642DE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Cópia integral de autos. Ato coator não delineado. </w:t>
      </w:r>
      <w:r w:rsidRPr="008642DE">
        <w:rPr>
          <w:b/>
          <w:i/>
          <w:sz w:val="24"/>
          <w:szCs w:val="24"/>
        </w:rPr>
        <w:t xml:space="preserve">Súmula </w:t>
      </w:r>
      <w:r>
        <w:rPr>
          <w:b/>
          <w:i/>
          <w:sz w:val="24"/>
          <w:szCs w:val="24"/>
        </w:rPr>
        <w:t xml:space="preserve">nº </w:t>
      </w:r>
      <w:r w:rsidRPr="008642DE">
        <w:rPr>
          <w:b/>
          <w:i/>
          <w:sz w:val="24"/>
          <w:szCs w:val="24"/>
        </w:rPr>
        <w:t>415 do TST.</w:t>
      </w:r>
    </w:p>
    <w:p w:rsidR="009E69D9" w:rsidRDefault="009E69D9" w:rsidP="009E69D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 sede de mandado de segurança, é dever da parte </w:t>
      </w:r>
      <w:r w:rsidRPr="00715215">
        <w:rPr>
          <w:sz w:val="24"/>
          <w:szCs w:val="24"/>
        </w:rPr>
        <w:t xml:space="preserve">apresentar provas tendentes a demonstrar a certeza e </w:t>
      </w:r>
      <w:r>
        <w:rPr>
          <w:sz w:val="24"/>
          <w:szCs w:val="24"/>
        </w:rPr>
        <w:t xml:space="preserve">a </w:t>
      </w:r>
      <w:r w:rsidRPr="00715215">
        <w:rPr>
          <w:sz w:val="24"/>
          <w:szCs w:val="24"/>
        </w:rPr>
        <w:t xml:space="preserve">liquidez do direito invocado (Súmula </w:t>
      </w:r>
      <w:r>
        <w:rPr>
          <w:sz w:val="24"/>
          <w:szCs w:val="24"/>
        </w:rPr>
        <w:t xml:space="preserve">nº </w:t>
      </w:r>
      <w:r w:rsidRPr="00715215">
        <w:rPr>
          <w:sz w:val="24"/>
          <w:szCs w:val="24"/>
        </w:rPr>
        <w:t>415 do TST) e elementos contundentes que comprovem a arbitrariedade denunciada</w:t>
      </w:r>
      <w:r>
        <w:rPr>
          <w:sz w:val="24"/>
          <w:szCs w:val="24"/>
        </w:rPr>
        <w:t xml:space="preserve">, não bastando a simples juntada de cópia integral dos autos. Em outras palavras, a parte deve apresentar provas de forma ordenada e aptas a revelar seu direito, mostrando-se inadequada a juntada de documentação extensa, coligida sem seguir determinada lógica, irrelevante para a análise da questão deduzida ou vinculada a processos distintos. No caso concreto, a discussão está centrada na ausência de concessão de efeito suspensivo ao curso de execução trabalhista, em razão da oposição de embargos de terceiros, na forma do art. 1.052 do CPC. O TRT denegou a segurança ao fundamento de que a impetrante não comprovou que os embargos de terceiro foram recebidos sem efeito suspensivo, estando a pretensão recursal fundada em manifesto equívoco no exame do acervo probatório produzido, qual seja, cópia integral dos autos de embargos de terceiro.  Todavia, o exame dos autos revelou que não houve equívoco </w:t>
      </w:r>
      <w:r>
        <w:rPr>
          <w:sz w:val="24"/>
          <w:szCs w:val="24"/>
        </w:rPr>
        <w:lastRenderedPageBreak/>
        <w:t xml:space="preserve">por parte do Tribunal Regional, mas que a documentação produzida foi insuficiente, não tendo o ato coator sido delineado de forma nítida, a ponto de repercutir no direito líquido e certo da parte. </w:t>
      </w:r>
      <w:r w:rsidRPr="008642DE">
        <w:rPr>
          <w:sz w:val="24"/>
          <w:szCs w:val="24"/>
        </w:rPr>
        <w:t>Com base nesses fundamentos, a S</w:t>
      </w:r>
      <w:r>
        <w:rPr>
          <w:sz w:val="24"/>
          <w:szCs w:val="24"/>
        </w:rPr>
        <w:t xml:space="preserve">BDI-II, </w:t>
      </w:r>
      <w:r w:rsidRPr="008642DE">
        <w:rPr>
          <w:sz w:val="24"/>
          <w:szCs w:val="24"/>
        </w:rPr>
        <w:t xml:space="preserve">por unanimidade, </w:t>
      </w:r>
      <w:r>
        <w:rPr>
          <w:sz w:val="24"/>
          <w:szCs w:val="24"/>
        </w:rPr>
        <w:t>d</w:t>
      </w:r>
      <w:r w:rsidRPr="0006338B">
        <w:rPr>
          <w:sz w:val="24"/>
          <w:szCs w:val="24"/>
        </w:rPr>
        <w:t>eneg</w:t>
      </w:r>
      <w:r>
        <w:rPr>
          <w:sz w:val="24"/>
          <w:szCs w:val="24"/>
        </w:rPr>
        <w:t>ou</w:t>
      </w:r>
      <w:r w:rsidRPr="0006338B">
        <w:rPr>
          <w:sz w:val="24"/>
          <w:szCs w:val="24"/>
        </w:rPr>
        <w:t xml:space="preserve"> a segurança, na forma do art. 6º, § 5º, da Lei </w:t>
      </w:r>
      <w:r>
        <w:rPr>
          <w:sz w:val="24"/>
          <w:szCs w:val="24"/>
        </w:rPr>
        <w:t xml:space="preserve">nº </w:t>
      </w:r>
      <w:r w:rsidRPr="0006338B">
        <w:rPr>
          <w:sz w:val="24"/>
          <w:szCs w:val="24"/>
        </w:rPr>
        <w:t>12.016/2009, c/c o art. 267, VI, do CPC</w:t>
      </w:r>
      <w:r w:rsidRPr="008642DE">
        <w:rPr>
          <w:sz w:val="24"/>
          <w:szCs w:val="24"/>
        </w:rPr>
        <w:t xml:space="preserve">. </w:t>
      </w:r>
      <w:hyperlink r:id="rId10" w:history="1">
        <w:r w:rsidRPr="00FA5B3C">
          <w:rPr>
            <w:rStyle w:val="Hyperlink"/>
            <w:sz w:val="24"/>
            <w:szCs w:val="24"/>
          </w:rPr>
          <w:t>TST-RO-9068-75.2012.5.02.0000</w:t>
        </w:r>
      </w:hyperlink>
      <w:r w:rsidRPr="008642D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SBDI-II, rel. </w:t>
      </w:r>
      <w:r w:rsidRPr="008642DE">
        <w:rPr>
          <w:sz w:val="24"/>
          <w:szCs w:val="24"/>
          <w:u w:val="single"/>
        </w:rPr>
        <w:t>Min. Douglas Alencar Rodrigues, 14.4.2015</w:t>
      </w: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Default="00C26DFB">
      <w:pPr>
        <w:jc w:val="both"/>
        <w:rPr>
          <w:sz w:val="22"/>
          <w:szCs w:val="22"/>
          <w:u w:val="single"/>
        </w:rPr>
      </w:pPr>
    </w:p>
    <w:p w:rsidR="00FA5B3C" w:rsidRDefault="00FA5B3C">
      <w:pPr>
        <w:jc w:val="both"/>
        <w:rPr>
          <w:sz w:val="22"/>
          <w:szCs w:val="22"/>
          <w:u w:val="single"/>
        </w:rPr>
      </w:pPr>
    </w:p>
    <w:p w:rsidR="00FA5B3C" w:rsidRDefault="00FA5B3C">
      <w:pPr>
        <w:jc w:val="both"/>
        <w:rPr>
          <w:sz w:val="22"/>
          <w:szCs w:val="22"/>
          <w:u w:val="single"/>
        </w:rPr>
      </w:pPr>
    </w:p>
    <w:p w:rsidR="00FA5B3C" w:rsidRPr="005D1DE4" w:rsidRDefault="00FA5B3C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3B" w:rsidRDefault="0099743B">
      <w:r>
        <w:separator/>
      </w:r>
    </w:p>
  </w:endnote>
  <w:endnote w:type="continuationSeparator" w:id="0">
    <w:p w:rsidR="0099743B" w:rsidRDefault="009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F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C6FCF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3B" w:rsidRDefault="0099743B">
      <w:r>
        <w:separator/>
      </w:r>
    </w:p>
  </w:footnote>
  <w:footnote w:type="continuationSeparator" w:id="0">
    <w:p w:rsidR="0099743B" w:rsidRDefault="0099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  <w:r w:rsidR="009E69D9">
      <w:rPr>
        <w:shadow/>
        <w:sz w:val="24"/>
        <w:szCs w:val="24"/>
      </w:rPr>
      <w:t>4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9E69D9">
      <w:rPr>
        <w:sz w:val="20"/>
        <w:szCs w:val="20"/>
      </w:rPr>
      <w:t>4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9E69D9">
      <w:rPr>
        <w:sz w:val="20"/>
        <w:szCs w:val="20"/>
      </w:rPr>
      <w:t>2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</w:t>
    </w:r>
    <w:r w:rsidR="009E69D9">
      <w:rPr>
        <w:sz w:val="20"/>
        <w:szCs w:val="20"/>
      </w:rPr>
      <w:t>abril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9E69D9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9E69D9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E69D9">
      <w:rPr>
        <w:i/>
        <w:iCs/>
      </w:rPr>
      <w:t>14 a 27 de abril de 2015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655D0"/>
    <w:rsid w:val="00176D15"/>
    <w:rsid w:val="00184590"/>
    <w:rsid w:val="00187A37"/>
    <w:rsid w:val="0019151D"/>
    <w:rsid w:val="00193208"/>
    <w:rsid w:val="001C04D2"/>
    <w:rsid w:val="001C271F"/>
    <w:rsid w:val="001C6C93"/>
    <w:rsid w:val="001C6FCF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04AA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083A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9743B"/>
    <w:rsid w:val="009A32D5"/>
    <w:rsid w:val="009B6012"/>
    <w:rsid w:val="009C102D"/>
    <w:rsid w:val="009C2A4F"/>
    <w:rsid w:val="009D4C59"/>
    <w:rsid w:val="009D7F91"/>
    <w:rsid w:val="009E20EF"/>
    <w:rsid w:val="009E26EE"/>
    <w:rsid w:val="009E69D9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B391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5B3C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6800&amp;digitoTst=89&amp;anoTst=2009&amp;orgaoTst=5&amp;tribunalTst=23&amp;varaTst=0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9068&amp;digitoTst=75&amp;anoTst=2012&amp;orgaoTst=5&amp;tribunalTst=02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7284&amp;digitoTst=66&amp;anoTst=2013&amp;orgaoTst=5&amp;tribunalTst=15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B59F-48A9-484D-B40B-6AF656F5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5037</CharactersWithSpaces>
  <SharedDoc>false</SharedDoc>
  <HLinks>
    <vt:vector size="18" baseType="variant">
      <vt:variant>
        <vt:i4>2949240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http://aplicacao4.tst.jus.br/consultaProcessual/consultaTstNumUnica.do?consulta=Consultar&amp;conscsjt=&amp;numeroTst=9068&amp;digitoTst=75&amp;anoTst=2012&amp;orgaoTst=5&amp;tribunalTst=02&amp;varaTst=0000</vt:lpwstr>
      </vt:variant>
      <vt:variant>
        <vt:lpwstr/>
      </vt:variant>
      <vt:variant>
        <vt:i4>2293885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http://aplicacao4.tst.jus.br/consultaProcessual/consultaTstNumUnica.do?consulta=Consultar&amp;conscsjt=&amp;numeroTst=7284&amp;digitoTst=66&amp;anoTst=2013&amp;orgaoTst=5&amp;tribunalTst=15&amp;varaTst=0000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http://aplicacao4.tst.jus.br/consultaProcessual/consultaTstNumUnica.do?consulta=Consultar&amp;conscsjt=&amp;numeroTst=26800&amp;digitoTst=89&amp;anoTst=2009&amp;orgaoTst=5&amp;tribunalTst=23&amp;varaTst=0000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2018-06-27T21:49:00Z</dcterms:created>
  <dcterms:modified xsi:type="dcterms:W3CDTF">2018-06-27T21:49:00Z</dcterms:modified>
</cp:coreProperties>
</file>