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  <w:p w:rsidR="009576A1" w:rsidRPr="00187A37" w:rsidRDefault="009576A1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8A0948" w:rsidRPr="00971E07" w:rsidRDefault="008A0948" w:rsidP="008A0948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</w:t>
      </w:r>
      <w:r w:rsidR="00080833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5815F2" w:rsidRPr="00A87414" w:rsidRDefault="005815F2" w:rsidP="008A0948">
      <w:pPr>
        <w:jc w:val="both"/>
        <w:rPr>
          <w:b/>
          <w:i/>
          <w:sz w:val="10"/>
          <w:szCs w:val="10"/>
        </w:rPr>
      </w:pPr>
    </w:p>
    <w:p w:rsidR="00A87414" w:rsidRDefault="00A87414" w:rsidP="00A87414">
      <w:pPr>
        <w:ind w:right="-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APPA. Forma de execução de créditos trabalhistas. Matéria encaminhada ao Tribunal Pleno. Orientação Jurisprudencial nº 87 da SBDI-I. Manutenção ou revisão. </w:t>
      </w:r>
    </w:p>
    <w:p w:rsidR="00A87414" w:rsidRDefault="00A87414" w:rsidP="00A8741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SBDI-I, por unanimidade, decidiu suspender o exame dos embargos e remeter ao Tribunal Pleno a questão relativa à forma de execução de créditos trabalhistas em face da Administração dos Portos de Paranaguá e Antonina – APPA, para deliberar sobre a manutenção ou a revisão da Orientação Jurisprudencial nº 87 da SBDI-I. </w:t>
      </w:r>
      <w:hyperlink r:id="rId8" w:history="1">
        <w:r w:rsidRPr="00A87414">
          <w:rPr>
            <w:rStyle w:val="Hyperlink"/>
            <w:sz w:val="24"/>
            <w:szCs w:val="24"/>
          </w:rPr>
          <w:t>TST-E-RR-148500-29.2004.5.09.0022</w:t>
        </w:r>
      </w:hyperlink>
      <w:r>
        <w:rPr>
          <w:sz w:val="24"/>
          <w:szCs w:val="24"/>
          <w:u w:val="single"/>
        </w:rPr>
        <w:t>, SBDI-I, rel. Min. Renato de Lacerda Paiva, 26.2.2015</w:t>
      </w:r>
    </w:p>
    <w:p w:rsidR="005815F2" w:rsidRPr="00A87414" w:rsidRDefault="005815F2" w:rsidP="005815F2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A87414" w:rsidRPr="00971E07" w:rsidRDefault="00A87414" w:rsidP="00A8741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A87414" w:rsidRPr="00A87414" w:rsidRDefault="00A87414" w:rsidP="00A87414">
      <w:pPr>
        <w:jc w:val="both"/>
        <w:rPr>
          <w:b/>
          <w:i/>
          <w:sz w:val="10"/>
          <w:szCs w:val="10"/>
        </w:rPr>
      </w:pPr>
    </w:p>
    <w:p w:rsidR="00A87414" w:rsidRDefault="00A87414" w:rsidP="00A8741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Ação rescisória. Execução trabalhista. Prescrição intercorrente. Não incidência. Violação do art. 5º, XXXVI, da CF. Configuração.</w:t>
      </w:r>
    </w:p>
    <w:p w:rsidR="00A87414" w:rsidRDefault="00A87414" w:rsidP="00A8741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Tratando-se de condenação ao pagamento de créditos oriundos da relação de trabalho, não se aplica a prescrição intercorrente, pois, nos termos do art. 878 da CLT, o processo do trabalho pode ser impulsionado de ofício. Ademais, a pronúncia da prescrição intercorrente nas execuções trabalhistas esvaziaria a eficácia da decisão judicial que serviu de base ao título executivo, devendo o direito reconhecido na sentença prevalecer sobre eventual demora para a satisfação do crédito. Inteligência da Súmula nº 114 do TST. De outra sorte, no caso concreto, ao declarar a incidência da prescrição intercorrente, a decisão rescindenda baseou-se nos princípios da boa-fé objetiva e da segurança jurídica, firmando a premissa genérica de ocorrência de inércia do exequente por mais de dois anos, sem registrar, todavia, se o ato que a parte teria deixado de praticar era de responsabilidade exclusiva dela, condição indispensável para a incidência da prescrição intercorrente, conforme entendimento do Ministro relator. Com esses fundamentos, a SBDI-II, por unanimidade, conheceu do recurso ordinário e deu-lhe provimento para julgar procedente o pedido de corte rescisório, por violação do art. 5º, XXXVI, da CF, e desconstituir a decisão rescindenda, e, em juízo rescisório, afastar a prescrição intercorrente pronunciada e determinar o prosseguimento da execução trabalhista. </w:t>
      </w:r>
      <w:hyperlink r:id="rId9" w:history="1">
        <w:r w:rsidRPr="00A87414">
          <w:rPr>
            <w:rStyle w:val="Hyperlink"/>
            <w:sz w:val="24"/>
            <w:szCs w:val="24"/>
          </w:rPr>
          <w:t>TST-RO-14-17.2014.5.02.0000</w:t>
        </w:r>
      </w:hyperlink>
      <w:r>
        <w:rPr>
          <w:sz w:val="24"/>
          <w:szCs w:val="24"/>
          <w:u w:val="single"/>
        </w:rPr>
        <w:t>, SBDI-II, rel. Min. Douglas Alencar Rodrigues, 24.2.2015</w:t>
      </w:r>
    </w:p>
    <w:p w:rsidR="00F1481D" w:rsidRPr="00A87414" w:rsidRDefault="00F1481D" w:rsidP="005815F2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A87414" w:rsidRPr="00336E13" w:rsidRDefault="00A87414" w:rsidP="00A87414">
      <w:pPr>
        <w:jc w:val="both"/>
        <w:rPr>
          <w:b/>
          <w:i/>
          <w:sz w:val="24"/>
          <w:szCs w:val="24"/>
        </w:rPr>
      </w:pPr>
      <w:r w:rsidRPr="00336E13">
        <w:rPr>
          <w:b/>
          <w:i/>
          <w:sz w:val="24"/>
          <w:szCs w:val="24"/>
        </w:rPr>
        <w:t>M</w:t>
      </w:r>
      <w:r>
        <w:rPr>
          <w:b/>
          <w:i/>
          <w:sz w:val="24"/>
          <w:szCs w:val="24"/>
        </w:rPr>
        <w:t>andado de segurança</w:t>
      </w:r>
      <w:r w:rsidRPr="00336E13">
        <w:rPr>
          <w:b/>
          <w:i/>
          <w:sz w:val="24"/>
          <w:szCs w:val="24"/>
        </w:rPr>
        <w:t>. Penhora em conta poupança até o limite de quarenta salários mínimos. Art. 649, X</w:t>
      </w:r>
      <w:r>
        <w:rPr>
          <w:b/>
          <w:i/>
          <w:sz w:val="24"/>
          <w:szCs w:val="24"/>
        </w:rPr>
        <w:t>,</w:t>
      </w:r>
      <w:r w:rsidRPr="00336E13">
        <w:rPr>
          <w:b/>
          <w:i/>
          <w:sz w:val="24"/>
          <w:szCs w:val="24"/>
        </w:rPr>
        <w:t xml:space="preserve"> do CPC. Impossibilidade. </w:t>
      </w:r>
    </w:p>
    <w:p w:rsidR="00A87414" w:rsidRDefault="00A87414" w:rsidP="00A87414">
      <w:pPr>
        <w:ind w:right="-71"/>
        <w:jc w:val="both"/>
        <w:rPr>
          <w:sz w:val="24"/>
          <w:szCs w:val="24"/>
        </w:rPr>
      </w:pPr>
      <w:r w:rsidRPr="00336E13">
        <w:rPr>
          <w:sz w:val="24"/>
          <w:szCs w:val="24"/>
        </w:rPr>
        <w:t>Nos termos do art. 649, X</w:t>
      </w:r>
      <w:r>
        <w:rPr>
          <w:sz w:val="24"/>
          <w:szCs w:val="24"/>
        </w:rPr>
        <w:t>,</w:t>
      </w:r>
      <w:r w:rsidRPr="00336E13">
        <w:rPr>
          <w:sz w:val="24"/>
          <w:szCs w:val="24"/>
        </w:rPr>
        <w:t xml:space="preserve"> do CPC</w:t>
      </w:r>
      <w:r>
        <w:rPr>
          <w:sz w:val="24"/>
          <w:szCs w:val="24"/>
        </w:rPr>
        <w:t>,</w:t>
      </w:r>
      <w:r w:rsidRPr="00336E13">
        <w:rPr>
          <w:sz w:val="24"/>
          <w:szCs w:val="24"/>
        </w:rPr>
        <w:t xml:space="preserve"> é absolutamente impenhorável</w:t>
      </w:r>
      <w:r>
        <w:rPr>
          <w:sz w:val="24"/>
          <w:szCs w:val="24"/>
        </w:rPr>
        <w:t>,</w:t>
      </w:r>
      <w:r w:rsidRPr="00336E13">
        <w:rPr>
          <w:sz w:val="24"/>
          <w:szCs w:val="24"/>
        </w:rPr>
        <w:t xml:space="preserve"> até o limite de 40 salários mínimos, a quantia depositada em caderneta de poupança. </w:t>
      </w:r>
      <w:r>
        <w:rPr>
          <w:sz w:val="24"/>
          <w:szCs w:val="24"/>
        </w:rPr>
        <w:t xml:space="preserve">Na espécie, houve determinação de penhora/bloqueio de valores depositados em contas-poupanças, via Bacenjud, sem a observância da diretriz consagrada no dispositivo de lei mencionado.  Assim, tendo em conta que é possível conhecer de mandado de segurança </w:t>
      </w:r>
      <w:r w:rsidRPr="00336E13">
        <w:rPr>
          <w:sz w:val="24"/>
          <w:szCs w:val="24"/>
        </w:rPr>
        <w:t>impetrado contra ato judicial que, embora comporte recurso, provoque receio de dano irreparável ou de difícil repara</w:t>
      </w:r>
      <w:r>
        <w:rPr>
          <w:sz w:val="24"/>
          <w:szCs w:val="24"/>
        </w:rPr>
        <w:t xml:space="preserve">ção, como no caso concreto, a SBDI-II, por unanimidade, deu provimento a recurso ordinário para conceder parcialmente a segurança, a fim de sustar a ordem de bloqueio de valores creditados nas contas-poupanças do impetrante, liberando-se eventuais valores já penhorados a esse título que não excedam o limite estabelecido no art. 649, X, </w:t>
      </w:r>
      <w:r>
        <w:rPr>
          <w:sz w:val="24"/>
          <w:szCs w:val="24"/>
        </w:rPr>
        <w:lastRenderedPageBreak/>
        <w:t xml:space="preserve">do CPC, tomados em seu conjunto. </w:t>
      </w:r>
      <w:hyperlink r:id="rId10" w:history="1">
        <w:r w:rsidRPr="00A87414">
          <w:rPr>
            <w:rStyle w:val="Hyperlink"/>
            <w:rFonts w:cs="Courier New"/>
            <w:sz w:val="24"/>
            <w:szCs w:val="24"/>
          </w:rPr>
          <w:t>TST-RO-179-34.2012.5.20.0000</w:t>
        </w:r>
      </w:hyperlink>
      <w:r w:rsidRPr="00336E13">
        <w:rPr>
          <w:rFonts w:cs="Courier New"/>
          <w:color w:val="000000"/>
          <w:sz w:val="24"/>
          <w:szCs w:val="24"/>
          <w:u w:val="single"/>
        </w:rPr>
        <w:t>, SBDI-II, rel. Mi</w:t>
      </w:r>
      <w:r>
        <w:rPr>
          <w:rFonts w:cs="Courier New"/>
          <w:color w:val="000000"/>
          <w:sz w:val="24"/>
          <w:szCs w:val="24"/>
          <w:u w:val="single"/>
        </w:rPr>
        <w:t>n. Delaíde Miranda Arantes, 24.</w:t>
      </w:r>
      <w:r w:rsidRPr="00336E13">
        <w:rPr>
          <w:rFonts w:cs="Courier New"/>
          <w:color w:val="000000"/>
          <w:sz w:val="24"/>
          <w:szCs w:val="24"/>
          <w:u w:val="single"/>
        </w:rPr>
        <w:t>2.2015</w:t>
      </w:r>
    </w:p>
    <w:p w:rsidR="00F1481D" w:rsidRDefault="00F1481D" w:rsidP="005815F2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A87414" w:rsidRDefault="00A87414" w:rsidP="005815F2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CE392D" w:rsidRPr="005D1DE4" w:rsidRDefault="00CE392D">
      <w:pPr>
        <w:jc w:val="both"/>
        <w:rPr>
          <w:sz w:val="22"/>
          <w:szCs w:val="22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Comissão Nacional de Efetividade de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B5" w:rsidRDefault="006E3CB5">
      <w:r>
        <w:separator/>
      </w:r>
    </w:p>
  </w:endnote>
  <w:endnote w:type="continuationSeparator" w:id="0">
    <w:p w:rsidR="006E3CB5" w:rsidRDefault="006E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1B2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D11B2A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B5" w:rsidRDefault="006E3CB5">
      <w:r>
        <w:separator/>
      </w:r>
    </w:p>
  </w:footnote>
  <w:footnote w:type="continuationSeparator" w:id="0">
    <w:p w:rsidR="006E3CB5" w:rsidRDefault="006E3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>Informativo TST</w:t>
    </w:r>
    <w:r w:rsidR="00627896">
      <w:rPr>
        <w:shadow/>
        <w:sz w:val="24"/>
        <w:szCs w:val="24"/>
      </w:rPr>
      <w:t xml:space="preserve"> Execução</w:t>
    </w:r>
    <w:r w:rsidRPr="00971E07">
      <w:rPr>
        <w:shadow/>
        <w:sz w:val="24"/>
        <w:szCs w:val="24"/>
      </w:rPr>
      <w:t xml:space="preserve">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A87414">
      <w:rPr>
        <w:shadow/>
        <w:sz w:val="24"/>
        <w:szCs w:val="24"/>
      </w:rPr>
      <w:t>11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A87414">
      <w:rPr>
        <w:sz w:val="20"/>
        <w:szCs w:val="20"/>
      </w:rPr>
      <w:t>10 de fevereiro a 2 de março de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582667">
    <w:pPr>
      <w:pStyle w:val="Cabealho"/>
      <w:tabs>
        <w:tab w:val="clear" w:pos="8838"/>
        <w:tab w:val="right" w:pos="9639"/>
      </w:tabs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F1481D">
      <w:rPr>
        <w:b/>
        <w:sz w:val="40"/>
        <w:szCs w:val="40"/>
      </w:rPr>
      <w:t>1</w:t>
    </w:r>
    <w:r w:rsidR="00A87414">
      <w:rPr>
        <w:b/>
        <w:sz w:val="40"/>
        <w:szCs w:val="40"/>
      </w:rPr>
      <w:t>1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A87414">
      <w:rPr>
        <w:i/>
        <w:iCs/>
      </w:rPr>
      <w:t xml:space="preserve">10 de fevereiro a 2 de março </w:t>
    </w:r>
    <w:r w:rsidR="00F1481D">
      <w:rPr>
        <w:i/>
        <w:iCs/>
      </w:rPr>
      <w:t>de 2015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04F4E"/>
    <w:rsid w:val="00005D07"/>
    <w:rsid w:val="00010911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833"/>
    <w:rsid w:val="00080F10"/>
    <w:rsid w:val="00085E05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0360D"/>
    <w:rsid w:val="00111E6A"/>
    <w:rsid w:val="0011575C"/>
    <w:rsid w:val="0011692E"/>
    <w:rsid w:val="00137564"/>
    <w:rsid w:val="00137DC1"/>
    <w:rsid w:val="0015612D"/>
    <w:rsid w:val="001655D0"/>
    <w:rsid w:val="00165938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14FE"/>
    <w:rsid w:val="00206810"/>
    <w:rsid w:val="002168DE"/>
    <w:rsid w:val="00216BA3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175B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5AF1"/>
    <w:rsid w:val="00466DB9"/>
    <w:rsid w:val="004748C8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26F9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15F2"/>
    <w:rsid w:val="00582667"/>
    <w:rsid w:val="00584F82"/>
    <w:rsid w:val="00591DFA"/>
    <w:rsid w:val="005A5695"/>
    <w:rsid w:val="005A779D"/>
    <w:rsid w:val="005B2A3C"/>
    <w:rsid w:val="005B2F00"/>
    <w:rsid w:val="005B57DE"/>
    <w:rsid w:val="005C1886"/>
    <w:rsid w:val="005C34BA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5F7346"/>
    <w:rsid w:val="006002E3"/>
    <w:rsid w:val="006145AC"/>
    <w:rsid w:val="00615F98"/>
    <w:rsid w:val="0061615D"/>
    <w:rsid w:val="00621F9C"/>
    <w:rsid w:val="00627896"/>
    <w:rsid w:val="00631166"/>
    <w:rsid w:val="00631F1C"/>
    <w:rsid w:val="006366A4"/>
    <w:rsid w:val="006456B1"/>
    <w:rsid w:val="006564EC"/>
    <w:rsid w:val="0066084C"/>
    <w:rsid w:val="00662551"/>
    <w:rsid w:val="00672CF9"/>
    <w:rsid w:val="00672E11"/>
    <w:rsid w:val="0068273B"/>
    <w:rsid w:val="00691234"/>
    <w:rsid w:val="006931CC"/>
    <w:rsid w:val="006947F2"/>
    <w:rsid w:val="00697919"/>
    <w:rsid w:val="006A65B4"/>
    <w:rsid w:val="006B0757"/>
    <w:rsid w:val="006B3FCF"/>
    <w:rsid w:val="006B46CA"/>
    <w:rsid w:val="006C0391"/>
    <w:rsid w:val="006C28B3"/>
    <w:rsid w:val="006D1F66"/>
    <w:rsid w:val="006D306E"/>
    <w:rsid w:val="006D4497"/>
    <w:rsid w:val="006E3CB5"/>
    <w:rsid w:val="006F6C15"/>
    <w:rsid w:val="0070727E"/>
    <w:rsid w:val="00710D3A"/>
    <w:rsid w:val="00711C9D"/>
    <w:rsid w:val="0071315F"/>
    <w:rsid w:val="00721942"/>
    <w:rsid w:val="00722BE7"/>
    <w:rsid w:val="00732DF2"/>
    <w:rsid w:val="00735BF5"/>
    <w:rsid w:val="007403F2"/>
    <w:rsid w:val="00751607"/>
    <w:rsid w:val="007614F1"/>
    <w:rsid w:val="007618C5"/>
    <w:rsid w:val="00764066"/>
    <w:rsid w:val="00776118"/>
    <w:rsid w:val="007A2974"/>
    <w:rsid w:val="007B0F83"/>
    <w:rsid w:val="007C5618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23D61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0948"/>
    <w:rsid w:val="008A2A73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576A1"/>
    <w:rsid w:val="00960A3B"/>
    <w:rsid w:val="00967DE0"/>
    <w:rsid w:val="00971E07"/>
    <w:rsid w:val="00980944"/>
    <w:rsid w:val="00986D77"/>
    <w:rsid w:val="009943EC"/>
    <w:rsid w:val="009A32D5"/>
    <w:rsid w:val="009A6ADB"/>
    <w:rsid w:val="009B4E0B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87414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61E95"/>
    <w:rsid w:val="00B67CE0"/>
    <w:rsid w:val="00B73FFA"/>
    <w:rsid w:val="00B77069"/>
    <w:rsid w:val="00B874F1"/>
    <w:rsid w:val="00BB46CE"/>
    <w:rsid w:val="00BC1DE7"/>
    <w:rsid w:val="00BC5AEE"/>
    <w:rsid w:val="00BD6029"/>
    <w:rsid w:val="00BE0541"/>
    <w:rsid w:val="00BE1ADB"/>
    <w:rsid w:val="00BF6D1E"/>
    <w:rsid w:val="00C02586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CE392D"/>
    <w:rsid w:val="00D01C50"/>
    <w:rsid w:val="00D06690"/>
    <w:rsid w:val="00D11B24"/>
    <w:rsid w:val="00D11B2A"/>
    <w:rsid w:val="00D133C8"/>
    <w:rsid w:val="00D14DB8"/>
    <w:rsid w:val="00D244D5"/>
    <w:rsid w:val="00D2776A"/>
    <w:rsid w:val="00D413DB"/>
    <w:rsid w:val="00D420E2"/>
    <w:rsid w:val="00D4459D"/>
    <w:rsid w:val="00D56443"/>
    <w:rsid w:val="00D573F9"/>
    <w:rsid w:val="00D6058B"/>
    <w:rsid w:val="00D63EC5"/>
    <w:rsid w:val="00D72C05"/>
    <w:rsid w:val="00D847CF"/>
    <w:rsid w:val="00DA0A99"/>
    <w:rsid w:val="00DA5E51"/>
    <w:rsid w:val="00DA7603"/>
    <w:rsid w:val="00DA7E39"/>
    <w:rsid w:val="00DA7EDE"/>
    <w:rsid w:val="00DC0AB5"/>
    <w:rsid w:val="00DC50EB"/>
    <w:rsid w:val="00DD3FA0"/>
    <w:rsid w:val="00DE1D07"/>
    <w:rsid w:val="00DE5B2D"/>
    <w:rsid w:val="00DE5CE9"/>
    <w:rsid w:val="00E03064"/>
    <w:rsid w:val="00E04BD5"/>
    <w:rsid w:val="00E070D2"/>
    <w:rsid w:val="00E1539C"/>
    <w:rsid w:val="00E162B6"/>
    <w:rsid w:val="00E16E01"/>
    <w:rsid w:val="00E22154"/>
    <w:rsid w:val="00E24A50"/>
    <w:rsid w:val="00E35639"/>
    <w:rsid w:val="00E432CC"/>
    <w:rsid w:val="00E50711"/>
    <w:rsid w:val="00E60EDA"/>
    <w:rsid w:val="00E62BBC"/>
    <w:rsid w:val="00E85D6F"/>
    <w:rsid w:val="00E9503C"/>
    <w:rsid w:val="00E956D9"/>
    <w:rsid w:val="00EA1958"/>
    <w:rsid w:val="00EA29F5"/>
    <w:rsid w:val="00EA482D"/>
    <w:rsid w:val="00EB5731"/>
    <w:rsid w:val="00EB5FE6"/>
    <w:rsid w:val="00EB61A5"/>
    <w:rsid w:val="00EB7A09"/>
    <w:rsid w:val="00EC5AF4"/>
    <w:rsid w:val="00EC5B58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481D"/>
    <w:rsid w:val="00F17A2C"/>
    <w:rsid w:val="00F26708"/>
    <w:rsid w:val="00F34182"/>
    <w:rsid w:val="00F511EE"/>
    <w:rsid w:val="00F558E7"/>
    <w:rsid w:val="00F62016"/>
    <w:rsid w:val="00F63F44"/>
    <w:rsid w:val="00F6746D"/>
    <w:rsid w:val="00F7499A"/>
    <w:rsid w:val="00F811CD"/>
    <w:rsid w:val="00F82D8F"/>
    <w:rsid w:val="00F83F62"/>
    <w:rsid w:val="00F9711D"/>
    <w:rsid w:val="00FA75E0"/>
    <w:rsid w:val="00FB0E75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f21">
    <w:name w:val="f21"/>
    <w:rsid w:val="009576A1"/>
    <w:rPr>
      <w:rFonts w:ascii="Times" w:hAnsi="Times" w:cs="Times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48500&amp;digitoTst=29&amp;anoTst=2004&amp;orgaoTst=5&amp;tribunalTst=09&amp;varaTst=00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licacao5.tst.jus.br/consultaProcessual/consultaTstNumUnica.do?consulta=Consultar&amp;conscsjt=&amp;numeroTst=179&amp;digitoTst=34&amp;anoTst=2012&amp;orgaoTst=5&amp;tribunalTst=20&amp;varaTst=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4&amp;digitoTst=17&amp;anoTst=2014&amp;orgaoTst=5&amp;tribunalTst=02&amp;varaTst=000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55EE-6113-4293-9463-5EBE4B5B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4492</CharactersWithSpaces>
  <SharedDoc>false</SharedDoc>
  <HLinks>
    <vt:vector size="18" baseType="variant">
      <vt:variant>
        <vt:i4>3080245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https://aplicacao5.tst.jus.br/consultaProcessual/consultaTstNumUnica.do?consulta=Consultar&amp;conscsjt=&amp;numeroTst=179&amp;digitoTst=34&amp;anoTst=2012&amp;orgaoTst=5&amp;tribunalTst=20&amp;varaTst=0000</vt:lpwstr>
      </vt:variant>
      <vt:variant>
        <vt:lpwstr/>
      </vt:variant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https://aplicacao5.tst.jus.br/consultaProcessual/consultaTstNumUnica.do?consulta=Consultar&amp;conscsjt=&amp;numeroTst=14&amp;digitoTst=17&amp;anoTst=2014&amp;orgaoTst=5&amp;tribunalTst=02&amp;varaTst=0000</vt:lpwstr>
      </vt:variant>
      <vt:variant>
        <vt:lpwstr/>
      </vt:variant>
      <vt:variant>
        <vt:i4>5505099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https://aplicacao5.tst.jus.br/consultaProcessual/consultaTstNumUnica.do?consulta=Consultar&amp;conscsjt=&amp;numeroTst=148500&amp;digitoTst=29&amp;anoTst=2004&amp;orgaoTst=5&amp;tribunalTst=09&amp;varaTst=0022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2015-03-04T20:06:00Z</cp:lastPrinted>
  <dcterms:created xsi:type="dcterms:W3CDTF">2018-06-27T21:49:00Z</dcterms:created>
  <dcterms:modified xsi:type="dcterms:W3CDTF">2018-06-27T21:49:00Z</dcterms:modified>
</cp:coreProperties>
</file>