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F7499A" w:rsidP="00F7499A">
            <w:pPr>
              <w:pStyle w:val="Cabealho"/>
              <w:tabs>
                <w:tab w:val="clear" w:pos="4419"/>
                <w:tab w:val="clear" w:pos="8838"/>
              </w:tabs>
              <w:jc w:val="both"/>
              <w:rPr>
                <w:sz w:val="16"/>
                <w:szCs w:val="16"/>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p w:rsidR="009576A1" w:rsidRPr="00187A37" w:rsidRDefault="009576A1" w:rsidP="00F7499A">
            <w:pPr>
              <w:pStyle w:val="Cabealho"/>
              <w:tabs>
                <w:tab w:val="clear" w:pos="4419"/>
                <w:tab w:val="clear" w:pos="8838"/>
              </w:tabs>
              <w:jc w:val="both"/>
              <w:rPr>
                <w:sz w:val="10"/>
                <w:szCs w:val="10"/>
              </w:rPr>
            </w:pPr>
          </w:p>
        </w:tc>
      </w:tr>
    </w:tbl>
    <w:p w:rsidR="008A0948" w:rsidRPr="00971E07" w:rsidRDefault="008A0948" w:rsidP="008A0948">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w:t>
      </w:r>
      <w:r w:rsidR="00080833">
        <w:rPr>
          <w:rFonts w:ascii="Times New Roman" w:hAnsi="Times New Roman" w:cs="Times New Roman"/>
          <w:b/>
          <w:bCs/>
          <w:shadow/>
          <w:color w:val="auto"/>
          <w:sz w:val="26"/>
          <w:szCs w:val="26"/>
          <w:lang w:val="pt-BR"/>
        </w:rPr>
        <w:t>I</w:t>
      </w:r>
      <w:r>
        <w:rPr>
          <w:rFonts w:ascii="Times New Roman" w:hAnsi="Times New Roman" w:cs="Times New Roman"/>
          <w:b/>
          <w:bCs/>
          <w:shadow/>
          <w:color w:val="auto"/>
          <w:sz w:val="26"/>
          <w:szCs w:val="26"/>
          <w:lang w:val="pt-BR"/>
        </w:rPr>
        <w:t xml:space="preserve">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A0948" w:rsidRPr="005815F2" w:rsidRDefault="008A0948" w:rsidP="008A0948">
      <w:pPr>
        <w:jc w:val="both"/>
        <w:rPr>
          <w:b/>
          <w:i/>
        </w:rPr>
      </w:pPr>
    </w:p>
    <w:p w:rsidR="005815F2" w:rsidRPr="005815F2" w:rsidRDefault="005815F2" w:rsidP="005815F2">
      <w:pPr>
        <w:jc w:val="both"/>
        <w:rPr>
          <w:b/>
          <w:i/>
          <w:sz w:val="24"/>
          <w:szCs w:val="24"/>
        </w:rPr>
      </w:pPr>
      <w:r w:rsidRPr="005815F2">
        <w:rPr>
          <w:b/>
          <w:i/>
          <w:sz w:val="24"/>
          <w:szCs w:val="24"/>
        </w:rPr>
        <w:t xml:space="preserve">Mandado de segurança. Execução provisória. Decisão que determina a liberação dos depósitos recursais. Pedido de restituição. Inadequação da via eleita. Consumação do ato coator mediante o efetivo levantamento dos valores.  Perda de objeto. </w:t>
      </w:r>
    </w:p>
    <w:p w:rsidR="005815F2" w:rsidRPr="005815F2" w:rsidRDefault="005815F2" w:rsidP="005815F2">
      <w:pPr>
        <w:jc w:val="both"/>
        <w:rPr>
          <w:sz w:val="24"/>
          <w:szCs w:val="24"/>
        </w:rPr>
      </w:pPr>
      <w:r w:rsidRPr="005815F2">
        <w:rPr>
          <w:sz w:val="24"/>
          <w:szCs w:val="24"/>
        </w:rPr>
        <w:t xml:space="preserve">O mandado de segurança não é a via adequada para se obter sentença condenatória que determine a restituição de valores recebidos pela reclamante litisconsorte em sede de execução provisória, pois não pode ser utilizado em substituição à ação de cobrança regressiva ou repetição de indébito trabalhista, no caso de o executado alcançar o provimento do agravo de instrumento em recurso de revista pendente nos autos principais da ação que gerou o ato coator, consistente da liberação dos depósitos recursais. De outra sorte, na hipótese vertente, verifica-se a total perda do objeto do </w:t>
      </w:r>
      <w:r w:rsidRPr="005815F2">
        <w:rPr>
          <w:i/>
          <w:sz w:val="24"/>
          <w:szCs w:val="24"/>
        </w:rPr>
        <w:t>mandamus</w:t>
      </w:r>
      <w:r w:rsidRPr="005815F2">
        <w:rPr>
          <w:sz w:val="24"/>
          <w:szCs w:val="24"/>
        </w:rPr>
        <w:t xml:space="preserve">, por ausência de interesse de agir do impetrante, pois houve consumação do ato coator ante o efetivo levantamento dos depósitos pela exequente. Com esses fundamentos, a SBDI-II, por unanimidade, decretou a extinção do processo, sem resolução do mérito, com fundamento no art. 267, VI, do CPC. </w:t>
      </w:r>
      <w:hyperlink r:id="rId8" w:history="1">
        <w:r w:rsidRPr="005815F2">
          <w:rPr>
            <w:rStyle w:val="Hyperlink"/>
            <w:sz w:val="24"/>
            <w:szCs w:val="24"/>
          </w:rPr>
          <w:t>TST-RO-50200-95.2012.5.17.0000</w:t>
        </w:r>
      </w:hyperlink>
      <w:r w:rsidRPr="005815F2">
        <w:rPr>
          <w:sz w:val="24"/>
          <w:szCs w:val="24"/>
          <w:u w:val="single"/>
        </w:rPr>
        <w:t>, SBDI-II, rel. Min. Cláudio Mascarenhas Brandão, 28.10.2014</w:t>
      </w:r>
    </w:p>
    <w:p w:rsidR="005815F2" w:rsidRPr="005815F2" w:rsidRDefault="005815F2" w:rsidP="008A0948">
      <w:pPr>
        <w:jc w:val="both"/>
        <w:rPr>
          <w:b/>
          <w:i/>
        </w:rPr>
      </w:pPr>
    </w:p>
    <w:p w:rsidR="005815F2" w:rsidRPr="000A2F2A" w:rsidRDefault="005815F2" w:rsidP="005815F2">
      <w:pPr>
        <w:jc w:val="both"/>
        <w:rPr>
          <w:b/>
          <w:i/>
          <w:sz w:val="24"/>
          <w:szCs w:val="24"/>
        </w:rPr>
      </w:pPr>
      <w:r w:rsidRPr="000A2F2A">
        <w:rPr>
          <w:b/>
          <w:i/>
          <w:sz w:val="24"/>
          <w:szCs w:val="24"/>
        </w:rPr>
        <w:t>Ação rescisória. Execução. Remição de bem imóvel pelo filho do sócio da empresa executada. Prevalência sobre a arrematação. Efeitos da praça sustados. Tempestividade da remição. Legitimidade do remitente.</w:t>
      </w:r>
    </w:p>
    <w:p w:rsidR="005815F2" w:rsidRDefault="005815F2" w:rsidP="005815F2">
      <w:pPr>
        <w:ind w:right="-1"/>
        <w:jc w:val="both"/>
        <w:rPr>
          <w:sz w:val="24"/>
          <w:szCs w:val="24"/>
          <w:u w:val="single"/>
        </w:rPr>
      </w:pPr>
      <w:r w:rsidRPr="000A2F2A">
        <w:rPr>
          <w:sz w:val="24"/>
          <w:szCs w:val="24"/>
        </w:rPr>
        <w:t xml:space="preserve">Na espécie, o filho do sócio diretor da empresa proprietária de imóvel contra o qual foi dirigida a execução trabalhista matriz requereu a remição do bem que, em hasta pública, fora penhorado e arrematado. Deferida a remição, o arrematante interpôs agravo de petição, que foi provido para reconhecer a validade da arrematação. Em sede de recurso de revista, restabeleceu-se a sentença que deferiu o pedido de remição, tendo tal decisão sido reformada no julgamento de embargos à SBDI-I, conhecidos por divergência jurisprudencial, e que diante da má aplicação do art. 5º, LIV, da CF, conferiu prevalência à arrematação. Todavia, restou consignado no quadro fático delineado nos autos que em razão do ajuizamento de embargos de terceiro, a execução estava suspensa (art. 1.052 do CPC), de modo que os efeitos da praça estavam sustados no momento em que houve o pedido de remição do bem, o que confere tempestividade aos atos praticados pelo remitente. Ademais, nos termos do art. 788, I, do CPC, com redação vigente à época, o termo final para remir é a assinatura do auto de arrematação, o qual não foi sequer lavrado na hipótese, em razão do acolhimento do pedido de remição pelo juiz de primeiro grau. De outra sorte, em homenagem ao princípio da execução menos gravosa (art. 620 do CPC) resta patente a legitimidade do filho de sócio para remir bens em execução proposta contra a pessoa jurídica, pois assentado o caráter familiar da sociedade. Com esses fundamentos, a SBDI-II, por maioria, rejeitou a preliminar suscitada de ofício a respeito da incidência da Orientação Jurisprudencial nº 70 da SBDI-II, vencidos os Ministros Alberto Luiz Bresciani de Fontan Pereira, revisor, Cláudio Mascarenhas Brandão e Douglas Alencar Rodrigues. E, ainda por maioria, julgou procedente o pedido de corte rescisório, alicerçado no art. 485, V, do CPC, por violação literal dos arts. 5º, LIV, da CF e 620 e 788 do CPC (redação anterior à Lei nº 11.382/2006) para, em juízo rescindente, desconstituir acórdão proferido pela SBDI-I que julgou improcedente o pedido de remição e, em juízo rescisório, declarar a prevalência da remição sobre a </w:t>
      </w:r>
      <w:r w:rsidRPr="000A2F2A">
        <w:rPr>
          <w:sz w:val="24"/>
          <w:szCs w:val="24"/>
        </w:rPr>
        <w:lastRenderedPageBreak/>
        <w:t xml:space="preserve">arrematação. Vencido, no ponto, o Ministro Cláudio Mascarenhas Brandão. </w:t>
      </w:r>
      <w:hyperlink r:id="rId9" w:history="1">
        <w:r w:rsidRPr="005815F2">
          <w:rPr>
            <w:rStyle w:val="Hyperlink"/>
            <w:sz w:val="24"/>
            <w:szCs w:val="24"/>
          </w:rPr>
          <w:t>TST-AR-8773-29.2011.5.00.0000</w:t>
        </w:r>
      </w:hyperlink>
      <w:r w:rsidRPr="000A2F2A">
        <w:rPr>
          <w:sz w:val="24"/>
          <w:szCs w:val="24"/>
          <w:u w:val="single"/>
        </w:rPr>
        <w:t>, SBDI-II, rel. Min. Emmanoel Pereira, 2.12.2014</w:t>
      </w:r>
    </w:p>
    <w:p w:rsidR="00B77069" w:rsidRPr="005815F2" w:rsidRDefault="00B77069" w:rsidP="00B77069">
      <w:pPr>
        <w:jc w:val="both"/>
      </w:pPr>
    </w:p>
    <w:p w:rsidR="005815F2" w:rsidRPr="0021424F" w:rsidRDefault="005815F2" w:rsidP="005815F2">
      <w:pPr>
        <w:jc w:val="both"/>
        <w:rPr>
          <w:b/>
          <w:i/>
          <w:sz w:val="24"/>
          <w:szCs w:val="24"/>
        </w:rPr>
      </w:pPr>
      <w:r w:rsidRPr="0021424F">
        <w:rPr>
          <w:b/>
          <w:i/>
          <w:sz w:val="24"/>
          <w:szCs w:val="24"/>
        </w:rPr>
        <w:t>Ação rescisória. Imóvel desocupado em razão de mudança provisória decorrente de problemas de saúde. Único imóvel da executada. Bem de família. Impenhorabilidade.</w:t>
      </w:r>
    </w:p>
    <w:p w:rsidR="005815F2" w:rsidRDefault="005815F2" w:rsidP="005815F2">
      <w:pPr>
        <w:pStyle w:val="Corpo"/>
        <w:spacing w:line="240" w:lineRule="auto"/>
        <w:ind w:firstLine="0"/>
        <w:rPr>
          <w:rFonts w:ascii="Times New Roman" w:hAnsi="Times New Roman"/>
          <w:u w:val="single"/>
          <w:lang w:val="pt-BR"/>
        </w:rPr>
      </w:pPr>
      <w:r w:rsidRPr="0021424F">
        <w:rPr>
          <w:rFonts w:ascii="Times New Roman" w:hAnsi="Times New Roman"/>
          <w:lang w:val="pt-BR"/>
        </w:rPr>
        <w:t>Constitui-se bem de família o único imóvel residencial pertencente à executada</w:t>
      </w:r>
      <w:r>
        <w:rPr>
          <w:rFonts w:ascii="Times New Roman" w:hAnsi="Times New Roman"/>
          <w:lang w:val="pt-BR"/>
        </w:rPr>
        <w:t xml:space="preserve"> e afetado à subsistência da entidade familiar</w:t>
      </w:r>
      <w:r w:rsidRPr="0021424F">
        <w:rPr>
          <w:rFonts w:ascii="Times New Roman" w:hAnsi="Times New Roman"/>
          <w:lang w:val="pt-BR"/>
        </w:rPr>
        <w:t xml:space="preserve">, ainda que esteja desocupado em razão de mudança provisória para outra cidade decorrente de problemas de saúde. Com esse fundamento, a SBDI-II, por maioria, deu provimento ao recurso ordinário da executada para julgar procedente a ação rescisória, com fundamento no art. 485, V, do CPC, e desconstituir o acórdão rescindendo; e, em juízo rescisório, reconhecer a condição de bem de família do imóvel penhorado e declarar a nulidade da constrição, julgando procedentes os embargos à execução. Vencido o Ministro Cláudio Mascarenhas Brandão, relator, que negava provimento ao recurso por não vislumbrar violação literal dos arts. 1º e 5º da Lei nº 8.009/90. </w:t>
      </w:r>
      <w:hyperlink r:id="rId10" w:history="1">
        <w:r w:rsidRPr="005815F2">
          <w:rPr>
            <w:rStyle w:val="Hyperlink"/>
            <w:rFonts w:ascii="Times New Roman" w:hAnsi="Times New Roman" w:cs="Courier New"/>
            <w:lang w:val="pt-BR"/>
          </w:rPr>
          <w:t>TST-RO-1059-48.2012.5.12.0000</w:t>
        </w:r>
      </w:hyperlink>
      <w:r>
        <w:rPr>
          <w:rFonts w:ascii="Times New Roman" w:hAnsi="Times New Roman"/>
          <w:u w:val="single"/>
          <w:lang w:val="pt-BR"/>
        </w:rPr>
        <w:t xml:space="preserve">, SBDI-II, </w:t>
      </w:r>
      <w:r w:rsidRPr="00895CC6">
        <w:rPr>
          <w:rFonts w:ascii="Times New Roman" w:hAnsi="Times New Roman"/>
          <w:u w:val="single"/>
          <w:lang w:val="pt-BR"/>
        </w:rPr>
        <w:t>rel. Min.</w:t>
      </w:r>
      <w:r>
        <w:rPr>
          <w:rFonts w:ascii="Times New Roman" w:hAnsi="Times New Roman"/>
          <w:u w:val="single"/>
          <w:lang w:val="pt-BR"/>
        </w:rPr>
        <w:t xml:space="preserve"> Cláudio Mascarenhas Brandão, red. p/ acórdão Min. Maria Cristina Irigoyen Peduzzi, 16.12.2014</w:t>
      </w:r>
    </w:p>
    <w:p w:rsidR="005815F2" w:rsidRDefault="005815F2" w:rsidP="005815F2">
      <w:pPr>
        <w:pStyle w:val="Corpo"/>
        <w:spacing w:line="240" w:lineRule="auto"/>
        <w:ind w:firstLine="0"/>
        <w:rPr>
          <w:rFonts w:ascii="Times New Roman" w:hAnsi="Times New Roman"/>
          <w:u w:val="single"/>
          <w:lang w:val="pt-BR"/>
        </w:rPr>
      </w:pPr>
    </w:p>
    <w:p w:rsidR="005815F2" w:rsidRDefault="005815F2" w:rsidP="005815F2">
      <w:pPr>
        <w:pStyle w:val="Corpo"/>
        <w:spacing w:line="240" w:lineRule="auto"/>
        <w:ind w:firstLine="0"/>
        <w:rPr>
          <w:rFonts w:ascii="Times New Roman" w:hAnsi="Times New Roman"/>
          <w:u w:val="single"/>
          <w:lang w:val="pt-BR"/>
        </w:rPr>
      </w:pPr>
    </w:p>
    <w:p w:rsidR="005815F2" w:rsidRDefault="005815F2" w:rsidP="005815F2">
      <w:pPr>
        <w:pStyle w:val="Corpo"/>
        <w:spacing w:line="240" w:lineRule="auto"/>
        <w:ind w:firstLine="0"/>
        <w:rPr>
          <w:rFonts w:ascii="Times New Roman" w:hAnsi="Times New Roman"/>
          <w:u w:val="single"/>
          <w:lang w:val="pt-BR"/>
        </w:rPr>
      </w:pPr>
    </w:p>
    <w:p w:rsidR="005815F2" w:rsidRDefault="005815F2" w:rsidP="005815F2">
      <w:pPr>
        <w:pStyle w:val="Corpo"/>
        <w:spacing w:line="240" w:lineRule="auto"/>
        <w:ind w:firstLine="0"/>
        <w:rPr>
          <w:rFonts w:ascii="Times New Roman" w:hAnsi="Times New Roman"/>
          <w:u w:val="single"/>
          <w:lang w:val="pt-BR"/>
        </w:rPr>
      </w:pPr>
    </w:p>
    <w:p w:rsidR="00CE392D" w:rsidRPr="005D1DE4" w:rsidRDefault="00CE392D">
      <w:pPr>
        <w:jc w:val="both"/>
        <w:rPr>
          <w:sz w:val="22"/>
          <w:szCs w:val="22"/>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Comissão Nacional de Efetividade de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1"/>
      <w:footerReference w:type="default" r:id="rId12"/>
      <w:headerReference w:type="first" r:id="rId13"/>
      <w:footerReference w:type="first" r:id="rId1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F2" w:rsidRDefault="007403F2">
      <w:r>
        <w:separator/>
      </w:r>
    </w:p>
  </w:endnote>
  <w:endnote w:type="continuationSeparator" w:id="0">
    <w:p w:rsidR="007403F2" w:rsidRDefault="0074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77F5">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9977F5">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F2" w:rsidRDefault="007403F2">
      <w:r>
        <w:separator/>
      </w:r>
    </w:p>
  </w:footnote>
  <w:footnote w:type="continuationSeparator" w:id="0">
    <w:p w:rsidR="007403F2" w:rsidRDefault="0074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Informativo TST</w:t>
    </w:r>
    <w:r w:rsidR="00627896">
      <w:rPr>
        <w:shadow/>
        <w:sz w:val="24"/>
        <w:szCs w:val="24"/>
      </w:rPr>
      <w:t xml:space="preserve"> Execução</w:t>
    </w:r>
    <w:r w:rsidRPr="00971E07">
      <w:rPr>
        <w:shadow/>
        <w:sz w:val="24"/>
        <w:szCs w:val="24"/>
      </w:rPr>
      <w:t xml:space="preserve"> - </w:t>
    </w:r>
    <w:r w:rsidR="00986D77">
      <w:rPr>
        <w:shadow/>
        <w:sz w:val="24"/>
        <w:szCs w:val="24"/>
      </w:rPr>
      <w:t>n</w:t>
    </w:r>
    <w:r w:rsidRPr="00971E07">
      <w:rPr>
        <w:shadow/>
        <w:sz w:val="24"/>
        <w:szCs w:val="24"/>
      </w:rPr>
      <w:t xml:space="preserve">º </w:t>
    </w:r>
    <w:r w:rsidR="005815F2">
      <w:rPr>
        <w:shadow/>
        <w:sz w:val="24"/>
        <w:szCs w:val="24"/>
      </w:rPr>
      <w:t>9</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B77069">
      <w:rPr>
        <w:sz w:val="20"/>
        <w:szCs w:val="20"/>
      </w:rPr>
      <w:t>1</w:t>
    </w:r>
    <w:r w:rsidR="005815F2">
      <w:rPr>
        <w:sz w:val="20"/>
        <w:szCs w:val="20"/>
      </w:rPr>
      <w:t>8 de novembro</w:t>
    </w:r>
    <w:r w:rsidR="00B67CE0">
      <w:rPr>
        <w:sz w:val="20"/>
        <w:szCs w:val="20"/>
      </w:rPr>
      <w:t xml:space="preserve"> a </w:t>
    </w:r>
    <w:r w:rsidR="005815F2">
      <w:rPr>
        <w:sz w:val="20"/>
        <w:szCs w:val="20"/>
      </w:rPr>
      <w:t>16</w:t>
    </w:r>
    <w:r w:rsidR="00B67CE0">
      <w:rPr>
        <w:sz w:val="20"/>
        <w:szCs w:val="20"/>
      </w:rPr>
      <w:t xml:space="preserve"> de </w:t>
    </w:r>
    <w:r w:rsidR="005815F2">
      <w:rPr>
        <w:sz w:val="20"/>
        <w:szCs w:val="20"/>
      </w:rPr>
      <w:t>dezembro</w:t>
    </w:r>
    <w:r w:rsidR="00B67CE0">
      <w:rPr>
        <w:sz w:val="20"/>
        <w:szCs w:val="20"/>
      </w:rPr>
      <w:t xml:space="preserve"> </w:t>
    </w:r>
    <w:r w:rsidR="00FE00AD" w:rsidRPr="00971E07">
      <w:rPr>
        <w:sz w:val="20"/>
        <w:szCs w:val="20"/>
      </w:rPr>
      <w:t>de 20</w:t>
    </w:r>
    <w:r w:rsidR="00E16E01" w:rsidRPr="00971E07">
      <w:rPr>
        <w:sz w:val="20"/>
        <w:szCs w:val="20"/>
      </w:rPr>
      <w:t>1</w:t>
    </w:r>
    <w:r w:rsidR="00627896">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582667">
    <w:pPr>
      <w:pStyle w:val="Cabealho"/>
      <w:tabs>
        <w:tab w:val="clear" w:pos="8838"/>
        <w:tab w:val="right" w:pos="9639"/>
      </w:tabs>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5815F2">
      <w:rPr>
        <w:b/>
        <w:sz w:val="40"/>
        <w:szCs w:val="40"/>
      </w:rPr>
      <w:t>9</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080833">
      <w:rPr>
        <w:i/>
        <w:iCs/>
      </w:rPr>
      <w:t>1</w:t>
    </w:r>
    <w:r w:rsidR="005815F2">
      <w:rPr>
        <w:i/>
        <w:iCs/>
      </w:rPr>
      <w:t>8</w:t>
    </w:r>
    <w:r w:rsidR="00080833">
      <w:rPr>
        <w:i/>
        <w:iCs/>
      </w:rPr>
      <w:t xml:space="preserve"> de novembro</w:t>
    </w:r>
    <w:r w:rsidR="005815F2">
      <w:rPr>
        <w:i/>
        <w:iCs/>
      </w:rPr>
      <w:t xml:space="preserve"> a 16 de dezembro</w:t>
    </w:r>
    <w:r w:rsidR="00B61E95">
      <w:rPr>
        <w:i/>
        <w:iCs/>
      </w:rPr>
      <w:t xml:space="preserve"> </w:t>
    </w:r>
    <w:r w:rsidR="00627896">
      <w:rPr>
        <w:i/>
        <w:iCs/>
      </w:rPr>
      <w:t xml:space="preserve">de </w:t>
    </w:r>
    <w:r w:rsidR="00FE00AD" w:rsidRPr="005D1DE4">
      <w:rPr>
        <w:i/>
        <w:iCs/>
      </w:rPr>
      <w:t>201</w:t>
    </w:r>
    <w:r w:rsidR="00582667">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05D07"/>
    <w:rsid w:val="00010911"/>
    <w:rsid w:val="0001157D"/>
    <w:rsid w:val="000228E6"/>
    <w:rsid w:val="00032056"/>
    <w:rsid w:val="000322FB"/>
    <w:rsid w:val="000425FC"/>
    <w:rsid w:val="00050E85"/>
    <w:rsid w:val="00056752"/>
    <w:rsid w:val="00057B87"/>
    <w:rsid w:val="0006020E"/>
    <w:rsid w:val="000733B4"/>
    <w:rsid w:val="00073880"/>
    <w:rsid w:val="00075BDB"/>
    <w:rsid w:val="00080833"/>
    <w:rsid w:val="00080F10"/>
    <w:rsid w:val="00085E05"/>
    <w:rsid w:val="0009237D"/>
    <w:rsid w:val="00093AE9"/>
    <w:rsid w:val="00093BA8"/>
    <w:rsid w:val="000A04E6"/>
    <w:rsid w:val="000B4D41"/>
    <w:rsid w:val="000B67DF"/>
    <w:rsid w:val="000B7CDE"/>
    <w:rsid w:val="000C3022"/>
    <w:rsid w:val="000C672B"/>
    <w:rsid w:val="000E0A91"/>
    <w:rsid w:val="0010360D"/>
    <w:rsid w:val="00111E6A"/>
    <w:rsid w:val="0011575C"/>
    <w:rsid w:val="0011692E"/>
    <w:rsid w:val="00137564"/>
    <w:rsid w:val="00137DC1"/>
    <w:rsid w:val="0015612D"/>
    <w:rsid w:val="001655D0"/>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14FE"/>
    <w:rsid w:val="00206810"/>
    <w:rsid w:val="002168DE"/>
    <w:rsid w:val="00216BA3"/>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175B"/>
    <w:rsid w:val="003B3EB5"/>
    <w:rsid w:val="003B4E23"/>
    <w:rsid w:val="003B767E"/>
    <w:rsid w:val="003C6FE7"/>
    <w:rsid w:val="003D032E"/>
    <w:rsid w:val="003D4205"/>
    <w:rsid w:val="003F2078"/>
    <w:rsid w:val="0042772A"/>
    <w:rsid w:val="004323B0"/>
    <w:rsid w:val="00444E88"/>
    <w:rsid w:val="0045657C"/>
    <w:rsid w:val="004655CC"/>
    <w:rsid w:val="00465AF1"/>
    <w:rsid w:val="00466DB9"/>
    <w:rsid w:val="004748C8"/>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26F9"/>
    <w:rsid w:val="0051538E"/>
    <w:rsid w:val="00517E01"/>
    <w:rsid w:val="00521EEC"/>
    <w:rsid w:val="005460BD"/>
    <w:rsid w:val="00553197"/>
    <w:rsid w:val="0055409E"/>
    <w:rsid w:val="00556367"/>
    <w:rsid w:val="00556B35"/>
    <w:rsid w:val="00573E13"/>
    <w:rsid w:val="005815F2"/>
    <w:rsid w:val="00582667"/>
    <w:rsid w:val="00584F82"/>
    <w:rsid w:val="00591DFA"/>
    <w:rsid w:val="005A5695"/>
    <w:rsid w:val="005A779D"/>
    <w:rsid w:val="005B2A3C"/>
    <w:rsid w:val="005B2F00"/>
    <w:rsid w:val="005B57DE"/>
    <w:rsid w:val="005C1886"/>
    <w:rsid w:val="005C34BA"/>
    <w:rsid w:val="005C761E"/>
    <w:rsid w:val="005D0E5F"/>
    <w:rsid w:val="005D1DE4"/>
    <w:rsid w:val="005D4F86"/>
    <w:rsid w:val="005E1A86"/>
    <w:rsid w:val="005E35BD"/>
    <w:rsid w:val="005E3D4D"/>
    <w:rsid w:val="005E7FD1"/>
    <w:rsid w:val="005F2858"/>
    <w:rsid w:val="005F7346"/>
    <w:rsid w:val="006002E3"/>
    <w:rsid w:val="006145AC"/>
    <w:rsid w:val="00615F98"/>
    <w:rsid w:val="0061615D"/>
    <w:rsid w:val="00621F9C"/>
    <w:rsid w:val="00627896"/>
    <w:rsid w:val="00631166"/>
    <w:rsid w:val="00631F1C"/>
    <w:rsid w:val="006366A4"/>
    <w:rsid w:val="006456B1"/>
    <w:rsid w:val="006564EC"/>
    <w:rsid w:val="0066084C"/>
    <w:rsid w:val="00662551"/>
    <w:rsid w:val="00672CF9"/>
    <w:rsid w:val="00672E11"/>
    <w:rsid w:val="0068273B"/>
    <w:rsid w:val="00691234"/>
    <w:rsid w:val="006931CC"/>
    <w:rsid w:val="006947F2"/>
    <w:rsid w:val="00697919"/>
    <w:rsid w:val="006A65B4"/>
    <w:rsid w:val="006B0757"/>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403F2"/>
    <w:rsid w:val="00751607"/>
    <w:rsid w:val="007614F1"/>
    <w:rsid w:val="007618C5"/>
    <w:rsid w:val="00764066"/>
    <w:rsid w:val="00776118"/>
    <w:rsid w:val="007B0F83"/>
    <w:rsid w:val="007C5618"/>
    <w:rsid w:val="007D29A1"/>
    <w:rsid w:val="007E0EA7"/>
    <w:rsid w:val="007E3F23"/>
    <w:rsid w:val="007F142E"/>
    <w:rsid w:val="007F7B5E"/>
    <w:rsid w:val="00802B1A"/>
    <w:rsid w:val="0080615C"/>
    <w:rsid w:val="0081027F"/>
    <w:rsid w:val="0081742D"/>
    <w:rsid w:val="00821F4D"/>
    <w:rsid w:val="00823906"/>
    <w:rsid w:val="00823D61"/>
    <w:rsid w:val="008409D3"/>
    <w:rsid w:val="00845559"/>
    <w:rsid w:val="00854DB8"/>
    <w:rsid w:val="00854EF2"/>
    <w:rsid w:val="00863B86"/>
    <w:rsid w:val="00871F69"/>
    <w:rsid w:val="008842D0"/>
    <w:rsid w:val="00884AC4"/>
    <w:rsid w:val="0088579D"/>
    <w:rsid w:val="008A0948"/>
    <w:rsid w:val="008A2A73"/>
    <w:rsid w:val="008A7953"/>
    <w:rsid w:val="008B3081"/>
    <w:rsid w:val="008B32D4"/>
    <w:rsid w:val="008C1F97"/>
    <w:rsid w:val="008D0020"/>
    <w:rsid w:val="008D3C38"/>
    <w:rsid w:val="008D6A05"/>
    <w:rsid w:val="008E2AE5"/>
    <w:rsid w:val="008E3F89"/>
    <w:rsid w:val="008F26CB"/>
    <w:rsid w:val="008F6509"/>
    <w:rsid w:val="008F79D9"/>
    <w:rsid w:val="009027C8"/>
    <w:rsid w:val="0093467A"/>
    <w:rsid w:val="0094155C"/>
    <w:rsid w:val="00951531"/>
    <w:rsid w:val="009576A1"/>
    <w:rsid w:val="00960A3B"/>
    <w:rsid w:val="00967DE0"/>
    <w:rsid w:val="00971E07"/>
    <w:rsid w:val="00980944"/>
    <w:rsid w:val="00986D77"/>
    <w:rsid w:val="009943EC"/>
    <w:rsid w:val="009977F5"/>
    <w:rsid w:val="009A32D5"/>
    <w:rsid w:val="009A6ADB"/>
    <w:rsid w:val="009B4E0B"/>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1E95"/>
    <w:rsid w:val="00B67CE0"/>
    <w:rsid w:val="00B73FFA"/>
    <w:rsid w:val="00B77069"/>
    <w:rsid w:val="00B874F1"/>
    <w:rsid w:val="00BB46CE"/>
    <w:rsid w:val="00BC1DE7"/>
    <w:rsid w:val="00BC5AEE"/>
    <w:rsid w:val="00BD6029"/>
    <w:rsid w:val="00BE0541"/>
    <w:rsid w:val="00BE1ADB"/>
    <w:rsid w:val="00C02586"/>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CE392D"/>
    <w:rsid w:val="00D01C50"/>
    <w:rsid w:val="00D06690"/>
    <w:rsid w:val="00D11B24"/>
    <w:rsid w:val="00D133C8"/>
    <w:rsid w:val="00D14DB8"/>
    <w:rsid w:val="00D244D5"/>
    <w:rsid w:val="00D2776A"/>
    <w:rsid w:val="00D413DB"/>
    <w:rsid w:val="00D420E2"/>
    <w:rsid w:val="00D4459D"/>
    <w:rsid w:val="00D56443"/>
    <w:rsid w:val="00D573F9"/>
    <w:rsid w:val="00D6058B"/>
    <w:rsid w:val="00D63EC5"/>
    <w:rsid w:val="00D72C05"/>
    <w:rsid w:val="00D847CF"/>
    <w:rsid w:val="00DA0A99"/>
    <w:rsid w:val="00DA7603"/>
    <w:rsid w:val="00DA7E39"/>
    <w:rsid w:val="00DA7EDE"/>
    <w:rsid w:val="00DC0AB5"/>
    <w:rsid w:val="00DC50EB"/>
    <w:rsid w:val="00DD3FA0"/>
    <w:rsid w:val="00DE1D07"/>
    <w:rsid w:val="00DE5B2D"/>
    <w:rsid w:val="00DE5CE9"/>
    <w:rsid w:val="00E03064"/>
    <w:rsid w:val="00E04BD5"/>
    <w:rsid w:val="00E070D2"/>
    <w:rsid w:val="00E1539C"/>
    <w:rsid w:val="00E162B6"/>
    <w:rsid w:val="00E16E01"/>
    <w:rsid w:val="00E22154"/>
    <w:rsid w:val="00E24A50"/>
    <w:rsid w:val="00E35639"/>
    <w:rsid w:val="00E432CC"/>
    <w:rsid w:val="00E50711"/>
    <w:rsid w:val="00E60EDA"/>
    <w:rsid w:val="00E62BBC"/>
    <w:rsid w:val="00E85D6F"/>
    <w:rsid w:val="00E9503C"/>
    <w:rsid w:val="00E956D9"/>
    <w:rsid w:val="00EA1958"/>
    <w:rsid w:val="00EA29F5"/>
    <w:rsid w:val="00EA482D"/>
    <w:rsid w:val="00EB5731"/>
    <w:rsid w:val="00EB5FE6"/>
    <w:rsid w:val="00EB61A5"/>
    <w:rsid w:val="00EB7A09"/>
    <w:rsid w:val="00EC5AF4"/>
    <w:rsid w:val="00EC5B58"/>
    <w:rsid w:val="00ED661C"/>
    <w:rsid w:val="00EE41B5"/>
    <w:rsid w:val="00EE66C9"/>
    <w:rsid w:val="00EF11A9"/>
    <w:rsid w:val="00EF38E1"/>
    <w:rsid w:val="00EF749A"/>
    <w:rsid w:val="00EF771E"/>
    <w:rsid w:val="00F02565"/>
    <w:rsid w:val="00F05542"/>
    <w:rsid w:val="00F17A2C"/>
    <w:rsid w:val="00F26708"/>
    <w:rsid w:val="00F34182"/>
    <w:rsid w:val="00F511EE"/>
    <w:rsid w:val="00F558E7"/>
    <w:rsid w:val="00F62016"/>
    <w:rsid w:val="00F63F44"/>
    <w:rsid w:val="00F6746D"/>
    <w:rsid w:val="00F7499A"/>
    <w:rsid w:val="00F811CD"/>
    <w:rsid w:val="00F82D8F"/>
    <w:rsid w:val="00F83F62"/>
    <w:rsid w:val="00F9711D"/>
    <w:rsid w:val="00FA75E0"/>
    <w:rsid w:val="00FB0E75"/>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21">
    <w:name w:val="f21"/>
    <w:rsid w:val="009576A1"/>
    <w:rPr>
      <w:rFonts w:ascii="Times" w:hAnsi="Times" w:cs="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50200&amp;digitoTst=95&amp;anoTst=2012&amp;orgaoTst=5&amp;tribunalTst=17&amp;varaTst=00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licacao5.tst.jus.br/consultaProcessual/consultaTstNumUnica.do?consulta=Consultar&amp;conscsjt=&amp;numeroTst=1059&amp;digitoTst=48&amp;anoTst=2012&amp;orgaoTst=5&amp;tribunalTst=12&amp;varaTst=0000"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8773&amp;digitoTst=29&amp;anoTst=2011&amp;orgaoTst=5&amp;tribunalTst=00&amp;varaTst=000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80F2-A2E0-4B9D-86D6-64D3A125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5977</CharactersWithSpaces>
  <SharedDoc>false</SharedDoc>
  <HLinks>
    <vt:vector size="18" baseType="variant">
      <vt:variant>
        <vt:i4>6750325</vt:i4>
      </vt:variant>
      <vt:variant>
        <vt:i4>6</vt:i4>
      </vt:variant>
      <vt:variant>
        <vt:i4>0</vt:i4>
      </vt:variant>
      <vt:variant>
        <vt:i4>5</vt:i4>
      </vt:variant>
      <vt:variant>
        <vt:lpwstr>https://aplicacao5.tst.jus.br/consultaProcessual/consultaTstNumUnica.do?consulta=Consultar&amp;conscsjt=&amp;numeroTst=1059&amp;digitoTst=48&amp;anoTst=2012&amp;orgaoTst=5&amp;tribunalTst=12&amp;varaTst=0000</vt:lpwstr>
      </vt:variant>
      <vt:variant>
        <vt:lpwstr/>
      </vt:variant>
      <vt:variant>
        <vt:i4>7078015</vt:i4>
      </vt:variant>
      <vt:variant>
        <vt:i4>3</vt:i4>
      </vt:variant>
      <vt:variant>
        <vt:i4>0</vt:i4>
      </vt:variant>
      <vt:variant>
        <vt:i4>5</vt:i4>
      </vt:variant>
      <vt:variant>
        <vt:lpwstr>https://aplicacao5.tst.jus.br/consultaProcessual/consultaTstNumUnica.do?consulta=Consultar&amp;conscsjt=&amp;numeroTst=8773&amp;digitoTst=29&amp;anoTst=2011&amp;orgaoTst=5&amp;tribunalTst=00&amp;varaTst=0000</vt:lpwstr>
      </vt:variant>
      <vt:variant>
        <vt:lpwstr/>
      </vt:variant>
      <vt:variant>
        <vt:i4>1638404</vt:i4>
      </vt:variant>
      <vt:variant>
        <vt:i4>0</vt:i4>
      </vt:variant>
      <vt:variant>
        <vt:i4>0</vt:i4>
      </vt:variant>
      <vt:variant>
        <vt:i4>5</vt:i4>
      </vt:variant>
      <vt:variant>
        <vt:lpwstr>https://aplicacao5.tst.jus.br/consultaProcessual/consultaTstNumUnica.do?consulta=Consultar&amp;conscsjt=&amp;numeroTst=50200&amp;digitoTst=95&amp;anoTst=2012&amp;orgaoTst=5&amp;tribunalTst=17&amp;varaTst=0000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2014-10-30T17:17:00Z</cp:lastPrinted>
  <dcterms:created xsi:type="dcterms:W3CDTF">2018-06-27T21:47:00Z</dcterms:created>
  <dcterms:modified xsi:type="dcterms:W3CDTF">2018-06-27T21:47:00Z</dcterms:modified>
</cp:coreProperties>
</file>