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F7499A" w:rsidP="00F7499A">
            <w:pPr>
              <w:pStyle w:val="Cabealho"/>
              <w:tabs>
                <w:tab w:val="clear" w:pos="4419"/>
                <w:tab w:val="clear" w:pos="8838"/>
              </w:tabs>
              <w:jc w:val="both"/>
              <w:rPr>
                <w:sz w:val="16"/>
                <w:szCs w:val="16"/>
              </w:rPr>
            </w:pPr>
            <w:r>
              <w:rPr>
                <w:sz w:val="16"/>
                <w:szCs w:val="16"/>
              </w:rPr>
              <w:t xml:space="preserve">Este Informativo </w:t>
            </w:r>
            <w:r w:rsidR="00C26DFB" w:rsidRPr="00187A37">
              <w:rPr>
                <w:sz w:val="16"/>
                <w:szCs w:val="16"/>
              </w:rPr>
              <w:t>contém resumos não</w:t>
            </w:r>
            <w:r w:rsidR="00DC50EB" w:rsidRPr="00187A37">
              <w:rPr>
                <w:sz w:val="16"/>
                <w:szCs w:val="16"/>
              </w:rPr>
              <w:t xml:space="preserve"> </w:t>
            </w:r>
            <w:r w:rsidR="00C26DFB" w:rsidRPr="00187A37">
              <w:rPr>
                <w:sz w:val="16"/>
                <w:szCs w:val="16"/>
              </w:rPr>
              <w:t>oficiais de decisões proferidas pelo Tribunal</w:t>
            </w:r>
            <w:r>
              <w:rPr>
                <w:sz w:val="16"/>
                <w:szCs w:val="16"/>
              </w:rPr>
              <w:t xml:space="preserve"> em sede de execução trabalhista</w:t>
            </w:r>
            <w:r w:rsidR="00C26DFB" w:rsidRPr="00187A37">
              <w:rPr>
                <w:sz w:val="16"/>
                <w:szCs w:val="16"/>
              </w:rPr>
              <w:t>.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00C26DFB" w:rsidRPr="00187A37">
              <w:rPr>
                <w:sz w:val="16"/>
                <w:szCs w:val="16"/>
              </w:rPr>
              <w:t>da Justiça</w:t>
            </w:r>
            <w:r w:rsidR="00980944" w:rsidRPr="00187A37">
              <w:rPr>
                <w:sz w:val="16"/>
                <w:szCs w:val="16"/>
              </w:rPr>
              <w:t xml:space="preserve"> do Trabalho</w:t>
            </w:r>
            <w:r w:rsidR="00C26DFB" w:rsidRPr="00187A37">
              <w:rPr>
                <w:sz w:val="16"/>
                <w:szCs w:val="16"/>
              </w:rPr>
              <w:t>.</w:t>
            </w:r>
          </w:p>
          <w:p w:rsidR="009576A1" w:rsidRPr="00187A37" w:rsidRDefault="009576A1" w:rsidP="00F7499A">
            <w:pPr>
              <w:pStyle w:val="Cabealho"/>
              <w:tabs>
                <w:tab w:val="clear" w:pos="4419"/>
                <w:tab w:val="clear" w:pos="8838"/>
              </w:tabs>
              <w:jc w:val="both"/>
              <w:rPr>
                <w:sz w:val="10"/>
                <w:szCs w:val="10"/>
              </w:rPr>
            </w:pPr>
          </w:p>
        </w:tc>
      </w:tr>
    </w:tbl>
    <w:p w:rsidR="008A0948" w:rsidRPr="00971E07" w:rsidRDefault="008A0948" w:rsidP="008A0948">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w:t>
      </w:r>
      <w:r w:rsidR="00080833">
        <w:rPr>
          <w:rFonts w:ascii="Times New Roman" w:hAnsi="Times New Roman" w:cs="Times New Roman"/>
          <w:b/>
          <w:bCs/>
          <w:shadow/>
          <w:color w:val="auto"/>
          <w:sz w:val="26"/>
          <w:szCs w:val="26"/>
          <w:lang w:val="pt-BR"/>
        </w:rPr>
        <w:t>I</w:t>
      </w:r>
      <w:r>
        <w:rPr>
          <w:rFonts w:ascii="Times New Roman" w:hAnsi="Times New Roman" w:cs="Times New Roman"/>
          <w:b/>
          <w:bCs/>
          <w:shadow/>
          <w:color w:val="auto"/>
          <w:sz w:val="26"/>
          <w:szCs w:val="26"/>
          <w:lang w:val="pt-BR"/>
        </w:rPr>
        <w:t xml:space="preserve">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A0948" w:rsidRPr="00080833" w:rsidRDefault="008A0948" w:rsidP="008A0948">
      <w:pPr>
        <w:jc w:val="both"/>
        <w:rPr>
          <w:b/>
          <w:i/>
          <w:sz w:val="24"/>
          <w:szCs w:val="24"/>
        </w:rPr>
      </w:pPr>
    </w:p>
    <w:p w:rsidR="00080833" w:rsidRPr="00CC3671" w:rsidRDefault="00080833" w:rsidP="00080833">
      <w:pPr>
        <w:pStyle w:val="Corpo"/>
        <w:spacing w:line="240" w:lineRule="auto"/>
        <w:ind w:firstLine="0"/>
        <w:rPr>
          <w:rFonts w:ascii="Times New Roman" w:eastAsia="Calibri" w:hAnsi="Times New Roman" w:cs="Times New Roman"/>
          <w:b/>
          <w:i/>
          <w:color w:val="auto"/>
          <w:lang w:val="pt-BR" w:eastAsia="en-US"/>
        </w:rPr>
      </w:pPr>
      <w:bookmarkStart w:id="1" w:name="tempEmenta"/>
      <w:r w:rsidRPr="00CC3671">
        <w:rPr>
          <w:rFonts w:ascii="Times New Roman" w:eastAsia="Calibri" w:hAnsi="Times New Roman" w:cs="Times New Roman"/>
          <w:b/>
          <w:i/>
          <w:color w:val="auto"/>
          <w:lang w:val="pt-BR" w:eastAsia="en-US"/>
        </w:rPr>
        <w:t xml:space="preserve">Mandado de Segurança. Decadência. Configuração. </w:t>
      </w:r>
      <w:r>
        <w:rPr>
          <w:rFonts w:ascii="Times New Roman" w:eastAsia="Calibri" w:hAnsi="Times New Roman" w:cs="Times New Roman"/>
          <w:b/>
          <w:i/>
          <w:color w:val="auto"/>
          <w:lang w:val="pt-BR" w:eastAsia="en-US"/>
        </w:rPr>
        <w:t>P</w:t>
      </w:r>
      <w:r w:rsidRPr="00B618DC">
        <w:rPr>
          <w:rFonts w:ascii="Times New Roman" w:eastAsia="Calibri" w:hAnsi="Times New Roman" w:cs="Times New Roman"/>
          <w:b/>
          <w:i/>
          <w:color w:val="auto"/>
          <w:lang w:val="pt-BR" w:eastAsia="en-US"/>
        </w:rPr>
        <w:t>enhora sobre 30% dos</w:t>
      </w:r>
      <w:r>
        <w:rPr>
          <w:rFonts w:ascii="Times New Roman" w:eastAsia="Calibri" w:hAnsi="Times New Roman" w:cs="Times New Roman"/>
          <w:b/>
          <w:i/>
          <w:color w:val="auto"/>
          <w:lang w:val="pt-BR" w:eastAsia="en-US"/>
        </w:rPr>
        <w:t xml:space="preserve"> proventos de aposentadoria.</w:t>
      </w:r>
    </w:p>
    <w:p w:rsidR="00080833" w:rsidRPr="00015738" w:rsidRDefault="00080833" w:rsidP="00080833">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O início da </w:t>
      </w:r>
      <w:r w:rsidRPr="00CC3671">
        <w:rPr>
          <w:rFonts w:ascii="Times New Roman" w:eastAsia="Calibri" w:hAnsi="Times New Roman" w:cs="Times New Roman"/>
          <w:color w:val="auto"/>
          <w:lang w:val="pt-BR" w:eastAsia="en-US"/>
        </w:rPr>
        <w:t>contagem do prazo decadencial para ajuizamento de mandado de segurança</w:t>
      </w:r>
      <w:r>
        <w:rPr>
          <w:rFonts w:ascii="Times New Roman" w:eastAsia="Calibri" w:hAnsi="Times New Roman" w:cs="Times New Roman"/>
          <w:color w:val="auto"/>
          <w:lang w:val="pt-BR" w:eastAsia="en-US"/>
        </w:rPr>
        <w:t xml:space="preserve"> se dá a partir d</w:t>
      </w:r>
      <w:r w:rsidRPr="00CC3671">
        <w:rPr>
          <w:rFonts w:ascii="Times New Roman" w:eastAsia="Calibri" w:hAnsi="Times New Roman" w:cs="Times New Roman"/>
          <w:color w:val="auto"/>
          <w:lang w:val="pt-BR" w:eastAsia="en-US"/>
        </w:rPr>
        <w:t>o efetivo ato coator</w:t>
      </w:r>
      <w:r>
        <w:rPr>
          <w:rFonts w:ascii="Times New Roman" w:eastAsia="Calibri" w:hAnsi="Times New Roman" w:cs="Times New Roman"/>
          <w:color w:val="auto"/>
          <w:lang w:val="pt-BR" w:eastAsia="en-US"/>
        </w:rPr>
        <w:t>, ou seja, d</w:t>
      </w:r>
      <w:r w:rsidRPr="00CC3671">
        <w:rPr>
          <w:rFonts w:ascii="Times New Roman" w:eastAsia="Calibri" w:hAnsi="Times New Roman" w:cs="Times New Roman"/>
          <w:color w:val="auto"/>
          <w:lang w:val="pt-BR" w:eastAsia="en-US"/>
        </w:rPr>
        <w:t xml:space="preserve">o primeiro </w:t>
      </w:r>
      <w:r>
        <w:rPr>
          <w:rFonts w:ascii="Times New Roman" w:eastAsia="Calibri" w:hAnsi="Times New Roman" w:cs="Times New Roman"/>
          <w:color w:val="auto"/>
          <w:lang w:val="pt-BR" w:eastAsia="en-US"/>
        </w:rPr>
        <w:t xml:space="preserve">ato </w:t>
      </w:r>
      <w:r w:rsidRPr="00CC3671">
        <w:rPr>
          <w:rFonts w:ascii="Times New Roman" w:eastAsia="Calibri" w:hAnsi="Times New Roman" w:cs="Times New Roman"/>
          <w:color w:val="auto"/>
          <w:lang w:val="pt-BR" w:eastAsia="en-US"/>
        </w:rPr>
        <w:t xml:space="preserve">em que se firmou a tese hostilizada e não </w:t>
      </w:r>
      <w:r>
        <w:rPr>
          <w:rFonts w:ascii="Times New Roman" w:eastAsia="Calibri" w:hAnsi="Times New Roman" w:cs="Times New Roman"/>
          <w:color w:val="auto"/>
          <w:lang w:val="pt-BR" w:eastAsia="en-US"/>
        </w:rPr>
        <w:t>d</w:t>
      </w:r>
      <w:r w:rsidRPr="00CC3671">
        <w:rPr>
          <w:rFonts w:ascii="Times New Roman" w:eastAsia="Calibri" w:hAnsi="Times New Roman" w:cs="Times New Roman"/>
          <w:color w:val="auto"/>
          <w:lang w:val="pt-BR" w:eastAsia="en-US"/>
        </w:rPr>
        <w:t>aquele que a ratificou</w:t>
      </w:r>
      <w:r>
        <w:rPr>
          <w:rFonts w:ascii="Times New Roman" w:eastAsia="Calibri" w:hAnsi="Times New Roman" w:cs="Times New Roman"/>
          <w:color w:val="auto"/>
          <w:lang w:val="pt-BR" w:eastAsia="en-US"/>
        </w:rPr>
        <w:t xml:space="preserve"> (</w:t>
      </w:r>
      <w:r w:rsidRPr="00CC3671">
        <w:rPr>
          <w:rFonts w:ascii="Times New Roman" w:eastAsia="Calibri" w:hAnsi="Times New Roman" w:cs="Times New Roman"/>
          <w:color w:val="auto"/>
          <w:lang w:val="pt-BR" w:eastAsia="en-US"/>
        </w:rPr>
        <w:t>Orientação Juri</w:t>
      </w:r>
      <w:r>
        <w:rPr>
          <w:rFonts w:ascii="Times New Roman" w:eastAsia="Calibri" w:hAnsi="Times New Roman" w:cs="Times New Roman"/>
          <w:color w:val="auto"/>
          <w:lang w:val="pt-BR" w:eastAsia="en-US"/>
        </w:rPr>
        <w:t>sprudencial nº 127 da SBDI-II)</w:t>
      </w:r>
      <w:r w:rsidRPr="00CC3671">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Assim, no caso em que a </w:t>
      </w:r>
      <w:r w:rsidRPr="00CC3671">
        <w:rPr>
          <w:rFonts w:ascii="Times New Roman" w:eastAsia="Calibri" w:hAnsi="Times New Roman" w:cs="Times New Roman"/>
          <w:color w:val="auto"/>
          <w:lang w:val="pt-BR" w:eastAsia="en-US"/>
        </w:rPr>
        <w:t xml:space="preserve">ciência inequívoca do impetrante </w:t>
      </w:r>
      <w:r>
        <w:rPr>
          <w:rFonts w:ascii="Times New Roman" w:eastAsia="Calibri" w:hAnsi="Times New Roman" w:cs="Times New Roman"/>
          <w:color w:val="auto"/>
          <w:lang w:val="pt-BR" w:eastAsia="en-US"/>
        </w:rPr>
        <w:t xml:space="preserve">sobre o ato que determinou a </w:t>
      </w:r>
      <w:r w:rsidRPr="003C636E">
        <w:rPr>
          <w:rFonts w:ascii="Times New Roman" w:eastAsia="Calibri" w:hAnsi="Times New Roman" w:cs="Times New Roman"/>
          <w:color w:val="auto"/>
          <w:lang w:val="pt-BR" w:eastAsia="en-US"/>
        </w:rPr>
        <w:t>penhora sobre 30% dos valores percebidos mensalmente</w:t>
      </w:r>
      <w:r>
        <w:rPr>
          <w:rFonts w:ascii="Times New Roman" w:eastAsia="Calibri" w:hAnsi="Times New Roman" w:cs="Times New Roman"/>
          <w:color w:val="auto"/>
          <w:lang w:val="pt-BR" w:eastAsia="en-US"/>
        </w:rPr>
        <w:t xml:space="preserve"> se deu </w:t>
      </w:r>
      <w:r w:rsidRPr="00CC3671">
        <w:rPr>
          <w:rFonts w:ascii="Times New Roman" w:eastAsia="Calibri" w:hAnsi="Times New Roman" w:cs="Times New Roman"/>
          <w:color w:val="auto"/>
          <w:lang w:val="pt-BR" w:eastAsia="en-US"/>
        </w:rPr>
        <w:t>no mês de março de 2013</w:t>
      </w:r>
      <w:r>
        <w:rPr>
          <w:rFonts w:ascii="Times New Roman" w:eastAsia="Calibri" w:hAnsi="Times New Roman" w:cs="Times New Roman"/>
          <w:color w:val="auto"/>
          <w:lang w:val="pt-BR" w:eastAsia="en-US"/>
        </w:rPr>
        <w:t>, data do primeiro desconto em seus proventos de aposentadoria,</w:t>
      </w:r>
      <w:r w:rsidRPr="00B618DC">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e o</w:t>
      </w:r>
      <w:r w:rsidRPr="00016812">
        <w:rPr>
          <w:rFonts w:ascii="Times New Roman" w:eastAsia="Calibri" w:hAnsi="Times New Roman" w:cs="Times New Roman"/>
          <w:color w:val="auto"/>
          <w:lang w:val="pt-BR" w:eastAsia="en-US"/>
        </w:rPr>
        <w:t xml:space="preserve"> mandado de segurança </w:t>
      </w:r>
      <w:r>
        <w:rPr>
          <w:rFonts w:ascii="Times New Roman" w:eastAsia="Calibri" w:hAnsi="Times New Roman" w:cs="Times New Roman"/>
          <w:color w:val="auto"/>
          <w:lang w:val="pt-BR" w:eastAsia="en-US"/>
        </w:rPr>
        <w:t xml:space="preserve">foi impetrado </w:t>
      </w:r>
      <w:r w:rsidRPr="00CC3671">
        <w:rPr>
          <w:rFonts w:ascii="Times New Roman" w:eastAsia="Calibri" w:hAnsi="Times New Roman" w:cs="Times New Roman"/>
          <w:color w:val="auto"/>
          <w:lang w:val="pt-BR" w:eastAsia="en-US"/>
        </w:rPr>
        <w:t>apenas em fevereiro de 2014</w:t>
      </w:r>
      <w:r>
        <w:rPr>
          <w:rFonts w:ascii="Times New Roman" w:eastAsia="Calibri" w:hAnsi="Times New Roman" w:cs="Times New Roman"/>
          <w:color w:val="auto"/>
          <w:lang w:val="pt-BR" w:eastAsia="en-US"/>
        </w:rPr>
        <w:t xml:space="preserve">, observa-se que </w:t>
      </w:r>
      <w:r w:rsidRPr="00CC3671">
        <w:rPr>
          <w:rFonts w:ascii="Times New Roman" w:eastAsia="Calibri" w:hAnsi="Times New Roman" w:cs="Times New Roman"/>
          <w:color w:val="auto"/>
          <w:lang w:val="pt-BR" w:eastAsia="en-US"/>
        </w:rPr>
        <w:t>o prazo previsto em lei para o manejo da ação mandamental</w:t>
      </w:r>
      <w:r>
        <w:rPr>
          <w:rFonts w:ascii="Times New Roman" w:eastAsia="Calibri" w:hAnsi="Times New Roman" w:cs="Times New Roman"/>
          <w:color w:val="auto"/>
          <w:lang w:val="pt-BR" w:eastAsia="en-US"/>
        </w:rPr>
        <w:t xml:space="preserve"> foi </w:t>
      </w:r>
      <w:r w:rsidRPr="00CC3671">
        <w:rPr>
          <w:rFonts w:ascii="Times New Roman" w:eastAsia="Calibri" w:hAnsi="Times New Roman" w:cs="Times New Roman"/>
          <w:color w:val="auto"/>
          <w:lang w:val="pt-BR" w:eastAsia="en-US"/>
        </w:rPr>
        <w:t>notoriamente ultrapassado, restando configurada a decadência.</w:t>
      </w:r>
      <w:r>
        <w:rPr>
          <w:rFonts w:ascii="Times New Roman" w:eastAsia="Calibri" w:hAnsi="Times New Roman" w:cs="Times New Roman"/>
          <w:color w:val="auto"/>
          <w:lang w:val="pt-BR" w:eastAsia="en-US"/>
        </w:rPr>
        <w:t xml:space="preserve"> Com este entendimento, a SBDI-II, por unanimidade, </w:t>
      </w:r>
      <w:r w:rsidRPr="00015738">
        <w:rPr>
          <w:rFonts w:ascii="Times New Roman" w:eastAsia="Calibri" w:hAnsi="Times New Roman" w:cs="Times New Roman"/>
          <w:color w:val="auto"/>
          <w:lang w:val="pt-BR" w:eastAsia="en-US"/>
        </w:rPr>
        <w:t>conheceu do recurso ordinário e, no mérito, negou-lhe provimento</w:t>
      </w:r>
      <w:r>
        <w:rPr>
          <w:rFonts w:ascii="Times New Roman" w:eastAsia="Calibri" w:hAnsi="Times New Roman" w:cs="Times New Roman"/>
          <w:color w:val="auto"/>
          <w:lang w:val="pt-BR" w:eastAsia="en-US"/>
        </w:rPr>
        <w:t xml:space="preserve">. </w:t>
      </w:r>
      <w:hyperlink r:id="rId8" w:history="1">
        <w:r w:rsidRPr="00080833">
          <w:rPr>
            <w:rStyle w:val="Hyperlink"/>
            <w:rFonts w:ascii="Times New Roman" w:hAnsi="Times New Roman" w:cs="Courier New"/>
            <w:lang w:val="pt-BR"/>
          </w:rPr>
          <w:t>TST-RO-130-39.2014.5.05.0000</w:t>
        </w:r>
      </w:hyperlink>
      <w:r w:rsidRPr="00895CC6">
        <w:rPr>
          <w:rFonts w:ascii="Times New Roman" w:hAnsi="Times New Roman"/>
          <w:u w:val="single"/>
          <w:lang w:val="pt-BR"/>
        </w:rPr>
        <w:t>, SBDI-I</w:t>
      </w:r>
      <w:r>
        <w:rPr>
          <w:rFonts w:ascii="Times New Roman" w:hAnsi="Times New Roman"/>
          <w:u w:val="single"/>
          <w:lang w:val="pt-BR"/>
        </w:rPr>
        <w:t>I</w:t>
      </w:r>
      <w:r w:rsidRPr="00895CC6">
        <w:rPr>
          <w:rFonts w:ascii="Times New Roman" w:hAnsi="Times New Roman"/>
          <w:u w:val="single"/>
          <w:lang w:val="pt-BR"/>
        </w:rPr>
        <w:t xml:space="preserve">, rel. Min. </w:t>
      </w:r>
      <w:r>
        <w:rPr>
          <w:rFonts w:ascii="Times New Roman" w:hAnsi="Times New Roman"/>
          <w:u w:val="single"/>
          <w:lang w:val="pt-BR"/>
        </w:rPr>
        <w:t>Emmanoel Pereira</w:t>
      </w:r>
      <w:r w:rsidRPr="00895CC6">
        <w:rPr>
          <w:rFonts w:ascii="Times New Roman" w:hAnsi="Times New Roman"/>
          <w:u w:val="single"/>
          <w:lang w:val="pt-BR"/>
        </w:rPr>
        <w:t xml:space="preserve">, </w:t>
      </w:r>
      <w:r>
        <w:rPr>
          <w:rFonts w:ascii="Times New Roman" w:hAnsi="Times New Roman"/>
          <w:u w:val="single"/>
          <w:lang w:val="pt-BR"/>
        </w:rPr>
        <w:t>21</w:t>
      </w:r>
      <w:r w:rsidRPr="00895CC6">
        <w:rPr>
          <w:rFonts w:ascii="Times New Roman" w:hAnsi="Times New Roman"/>
          <w:u w:val="single"/>
          <w:lang w:val="pt-BR"/>
        </w:rPr>
        <w:t>.</w:t>
      </w:r>
      <w:r>
        <w:rPr>
          <w:rFonts w:ascii="Times New Roman" w:hAnsi="Times New Roman"/>
          <w:u w:val="single"/>
          <w:lang w:val="pt-BR"/>
        </w:rPr>
        <w:t>10</w:t>
      </w:r>
      <w:r w:rsidRPr="00895CC6">
        <w:rPr>
          <w:rFonts w:ascii="Times New Roman" w:hAnsi="Times New Roman"/>
          <w:u w:val="single"/>
          <w:lang w:val="pt-BR"/>
        </w:rPr>
        <w:t>.</w:t>
      </w:r>
      <w:r>
        <w:rPr>
          <w:rFonts w:ascii="Times New Roman" w:hAnsi="Times New Roman"/>
          <w:u w:val="single"/>
          <w:lang w:val="pt-BR"/>
        </w:rPr>
        <w:t>2014</w:t>
      </w:r>
    </w:p>
    <w:bookmarkEnd w:id="1"/>
    <w:p w:rsidR="00080833" w:rsidRDefault="00080833" w:rsidP="00B77069">
      <w:pPr>
        <w:ind w:right="-1"/>
        <w:jc w:val="both"/>
        <w:rPr>
          <w:sz w:val="24"/>
          <w:szCs w:val="24"/>
          <w:u w:val="single"/>
        </w:rPr>
      </w:pPr>
    </w:p>
    <w:p w:rsidR="00080833" w:rsidRPr="00820498" w:rsidRDefault="00080833" w:rsidP="00080833">
      <w:pPr>
        <w:jc w:val="both"/>
        <w:rPr>
          <w:b/>
          <w:i/>
          <w:sz w:val="24"/>
          <w:szCs w:val="24"/>
        </w:rPr>
      </w:pPr>
      <w:r>
        <w:rPr>
          <w:b/>
          <w:i/>
          <w:sz w:val="24"/>
          <w:szCs w:val="24"/>
        </w:rPr>
        <w:t>Conflito negativo de competência. Ação de execução fiscal. Foro competente. Domicílio fiscal da empresa. Art. 578, parágrafo único, do CPC.</w:t>
      </w:r>
    </w:p>
    <w:p w:rsidR="00080833" w:rsidRPr="00340709" w:rsidRDefault="00080833" w:rsidP="00080833">
      <w:pPr>
        <w:jc w:val="both"/>
        <w:rPr>
          <w:sz w:val="24"/>
          <w:szCs w:val="24"/>
        </w:rPr>
      </w:pPr>
      <w:r w:rsidRPr="00340709">
        <w:rPr>
          <w:sz w:val="24"/>
          <w:szCs w:val="24"/>
        </w:rPr>
        <w:t xml:space="preserve">Nos termos do </w:t>
      </w:r>
      <w:r>
        <w:rPr>
          <w:sz w:val="24"/>
          <w:szCs w:val="24"/>
        </w:rPr>
        <w:t xml:space="preserve">parágrafo único do art. 578 do CPC, o foro competente para processar e julgar ação de execução fiscal por meio da qual se busca a satisfação de créditos oriundos de multas administrativas aplicadas em razão do descumprimento da legislação trabalhista é o domicílio fiscal da empresa. Tal foro permanece inclusive diante do redirecionamento da execução ao sócio da empresa executada (art. 135, III, do CTN), que tem domicílio em localidade diversa, em razão do disposto no art. 87 do CPC. Com base nesses fundamentos, a SBDI-II, por unanimidade, conheceu do conflito negativo de competência e, no mérito, julgou-o procedente para declarar que a competência para apreciar e julgar a ação de execução fiscal é da Vara do Trabalho de Redenção/PA, local em que, à época do ajuizamento da ação, a empresa executada possuía endereço, conforme registrado no Cadastro Geral de Contribuintes. </w:t>
      </w:r>
      <w:hyperlink r:id="rId9" w:history="1">
        <w:r w:rsidRPr="00080833">
          <w:rPr>
            <w:rStyle w:val="Hyperlink"/>
            <w:sz w:val="24"/>
            <w:szCs w:val="24"/>
          </w:rPr>
          <w:t>TST-CC-1044-78.2013.5.00.0000</w:t>
        </w:r>
      </w:hyperlink>
      <w:r>
        <w:rPr>
          <w:sz w:val="24"/>
          <w:szCs w:val="24"/>
          <w:u w:val="single"/>
        </w:rPr>
        <w:t>, SBDI-II, rel. Min. Delaíde Miranda Arantes, 11.11.2014</w:t>
      </w:r>
    </w:p>
    <w:p w:rsidR="00080833" w:rsidRPr="009E701C" w:rsidRDefault="00080833" w:rsidP="00B77069">
      <w:pPr>
        <w:ind w:right="-1"/>
        <w:jc w:val="both"/>
        <w:rPr>
          <w:sz w:val="24"/>
          <w:szCs w:val="24"/>
        </w:rPr>
      </w:pPr>
    </w:p>
    <w:p w:rsidR="00B77069" w:rsidRPr="003B1070" w:rsidRDefault="00B77069" w:rsidP="00B77069">
      <w:pPr>
        <w:jc w:val="both"/>
        <w:rPr>
          <w:sz w:val="24"/>
          <w:szCs w:val="24"/>
        </w:rPr>
      </w:pPr>
    </w:p>
    <w:p w:rsidR="00CE392D" w:rsidRPr="005D1DE4" w:rsidRDefault="00CE392D">
      <w:pPr>
        <w:jc w:val="both"/>
        <w:rPr>
          <w:sz w:val="22"/>
          <w:szCs w:val="22"/>
          <w:u w:val="single"/>
        </w:rPr>
      </w:pPr>
    </w:p>
    <w:p w:rsidR="00F7499A" w:rsidRDefault="00184590"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 xml:space="preserve">Informativo TST </w:t>
      </w:r>
      <w:r w:rsidR="005E1A86" w:rsidRPr="005E1A86">
        <w:rPr>
          <w:b w:val="0"/>
          <w:bCs w:val="0"/>
          <w:snapToGrid w:val="0"/>
          <w:sz w:val="20"/>
          <w:szCs w:val="20"/>
        </w:rPr>
        <w:t>Execução</w:t>
      </w:r>
      <w:r w:rsidR="005E1A86">
        <w:rPr>
          <w:b w:val="0"/>
          <w:bCs w:val="0"/>
          <w:snapToGrid w:val="0"/>
          <w:sz w:val="20"/>
          <w:szCs w:val="20"/>
        </w:rPr>
        <w:t xml:space="preserve"> </w:t>
      </w:r>
      <w:r w:rsidRPr="005D1DE4">
        <w:rPr>
          <w:b w:val="0"/>
          <w:bCs w:val="0"/>
          <w:snapToGrid w:val="0"/>
          <w:sz w:val="20"/>
          <w:szCs w:val="20"/>
        </w:rPr>
        <w:t>é</w:t>
      </w:r>
      <w:r w:rsidR="00F7499A">
        <w:rPr>
          <w:b w:val="0"/>
          <w:bCs w:val="0"/>
          <w:snapToGrid w:val="0"/>
          <w:sz w:val="20"/>
          <w:szCs w:val="20"/>
        </w:rPr>
        <w:t xml:space="preserve"> uma iniciativa da </w:t>
      </w:r>
    </w:p>
    <w:p w:rsidR="00F7499A" w:rsidRDefault="00F7499A"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Pr>
          <w:b w:val="0"/>
          <w:bCs w:val="0"/>
          <w:snapToGrid w:val="0"/>
          <w:sz w:val="20"/>
          <w:szCs w:val="20"/>
        </w:rPr>
        <w:t>Comissão Nacional de Efetividade de Execução Trabalhista,</w:t>
      </w:r>
      <w:r w:rsidR="00184590" w:rsidRPr="005D1DE4">
        <w:rPr>
          <w:b w:val="0"/>
          <w:bCs w:val="0"/>
          <w:snapToGrid w:val="0"/>
          <w:sz w:val="20"/>
          <w:szCs w:val="20"/>
        </w:rPr>
        <w:t xml:space="preserve"> </w:t>
      </w:r>
    </w:p>
    <w:p w:rsidR="00184590" w:rsidRPr="005D1DE4" w:rsidRDefault="00184590" w:rsidP="00F7499A">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mantido pela Coordenadoria de Jurisprudência – CJUR</w:t>
      </w:r>
    </w:p>
    <w:p w:rsidR="00184590"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sz w:val="22"/>
          <w:szCs w:val="22"/>
        </w:rPr>
      </w:pPr>
      <w:r w:rsidRPr="005D1DE4">
        <w:rPr>
          <w:snapToGrid w:val="0"/>
        </w:rPr>
        <w:t>cjur@tst.jus.br</w:t>
      </w:r>
    </w:p>
    <w:sectPr w:rsidR="007614F1" w:rsidRPr="005D1DE4" w:rsidSect="00D11B24">
      <w:headerReference w:type="default" r:id="rId10"/>
      <w:footerReference w:type="default" r:id="rId11"/>
      <w:headerReference w:type="first" r:id="rId12"/>
      <w:footerReference w:type="first" r:id="rId1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43" w:rsidRDefault="00D56443">
      <w:r>
        <w:separator/>
      </w:r>
    </w:p>
  </w:endnote>
  <w:endnote w:type="continuationSeparator" w:id="0">
    <w:p w:rsidR="00D56443" w:rsidRDefault="00D5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0833">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9D4146">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43" w:rsidRDefault="00D56443">
      <w:r>
        <w:separator/>
      </w:r>
    </w:p>
  </w:footnote>
  <w:footnote w:type="continuationSeparator" w:id="0">
    <w:p w:rsidR="00D56443" w:rsidRDefault="00D5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Informativo TST</w:t>
    </w:r>
    <w:r w:rsidR="00627896">
      <w:rPr>
        <w:shadow/>
        <w:sz w:val="24"/>
        <w:szCs w:val="24"/>
      </w:rPr>
      <w:t xml:space="preserve"> Execução</w:t>
    </w:r>
    <w:r w:rsidRPr="00971E07">
      <w:rPr>
        <w:shadow/>
        <w:sz w:val="24"/>
        <w:szCs w:val="24"/>
      </w:rPr>
      <w:t xml:space="preserve"> - </w:t>
    </w:r>
    <w:r w:rsidR="00986D77">
      <w:rPr>
        <w:shadow/>
        <w:sz w:val="24"/>
        <w:szCs w:val="24"/>
      </w:rPr>
      <w:t>n</w:t>
    </w:r>
    <w:r w:rsidRPr="00971E07">
      <w:rPr>
        <w:shadow/>
        <w:sz w:val="24"/>
        <w:szCs w:val="24"/>
      </w:rPr>
      <w:t xml:space="preserve">º </w:t>
    </w:r>
    <w:r w:rsidR="00B77069">
      <w:rPr>
        <w:shadow/>
        <w:sz w:val="24"/>
        <w:szCs w:val="24"/>
      </w:rPr>
      <w:t>7</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B77069">
      <w:rPr>
        <w:sz w:val="20"/>
        <w:szCs w:val="20"/>
      </w:rPr>
      <w:t>14</w:t>
    </w:r>
    <w:r w:rsidR="00B67CE0">
      <w:rPr>
        <w:sz w:val="20"/>
        <w:szCs w:val="20"/>
      </w:rPr>
      <w:t xml:space="preserve"> a 2</w:t>
    </w:r>
    <w:r w:rsidR="00B77069">
      <w:rPr>
        <w:sz w:val="20"/>
        <w:szCs w:val="20"/>
      </w:rPr>
      <w:t>7</w:t>
    </w:r>
    <w:r w:rsidR="00B67CE0">
      <w:rPr>
        <w:sz w:val="20"/>
        <w:szCs w:val="20"/>
      </w:rPr>
      <w:t xml:space="preserve"> de </w:t>
    </w:r>
    <w:r w:rsidR="00B77069">
      <w:rPr>
        <w:sz w:val="20"/>
        <w:szCs w:val="20"/>
      </w:rPr>
      <w:t>outubro</w:t>
    </w:r>
    <w:r w:rsidR="00B67CE0">
      <w:rPr>
        <w:sz w:val="20"/>
        <w:szCs w:val="20"/>
      </w:rPr>
      <w:t xml:space="preserve"> </w:t>
    </w:r>
    <w:r w:rsidR="00FE00AD" w:rsidRPr="00971E07">
      <w:rPr>
        <w:sz w:val="20"/>
        <w:szCs w:val="20"/>
      </w:rPr>
      <w:t>de 20</w:t>
    </w:r>
    <w:r w:rsidR="00E16E01" w:rsidRPr="00971E07">
      <w:rPr>
        <w:sz w:val="20"/>
        <w:szCs w:val="20"/>
      </w:rPr>
      <w:t>1</w:t>
    </w:r>
    <w:r w:rsidR="00627896">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rsidP="00582667">
    <w:pPr>
      <w:pStyle w:val="Cabealho"/>
      <w:tabs>
        <w:tab w:val="clear" w:pos="8838"/>
        <w:tab w:val="right" w:pos="9639"/>
      </w:tabs>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r w:rsidR="0001157D">
      <w:tab/>
    </w:r>
    <w:r w:rsidR="0001157D">
      <w:tab/>
    </w:r>
    <w:r w:rsidR="008C1F97">
      <w:t xml:space="preserve">    </w:t>
    </w:r>
    <w:r w:rsidR="0001157D" w:rsidRPr="0001157D">
      <w:rPr>
        <w:rFonts w:ascii="Lucida Handwriting" w:hAnsi="Lucida Handwriting"/>
        <w:color w:val="FF0000"/>
        <w:sz w:val="40"/>
        <w:szCs w:val="40"/>
      </w:rPr>
      <w:t>Execução</w:t>
    </w:r>
    <w:r w:rsidR="0001157D" w:rsidRPr="0001157D">
      <w:rPr>
        <w:rFonts w:ascii="Lucida Handwriting" w:hAnsi="Lucida Handwriting"/>
        <w:sz w:val="40"/>
        <w:szCs w:val="40"/>
      </w:rPr>
      <w:t xml:space="preserve"> </w:t>
    </w:r>
    <w:r w:rsidR="0001157D">
      <w:t xml:space="preserve">                                                                                                                                               </w: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080833">
      <w:rPr>
        <w:b/>
        <w:sz w:val="40"/>
        <w:szCs w:val="40"/>
      </w:rPr>
      <w:t>8</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080833">
      <w:rPr>
        <w:i/>
        <w:iCs/>
      </w:rPr>
      <w:t xml:space="preserve">28 </w:t>
    </w:r>
    <w:r w:rsidR="009B4E0B">
      <w:rPr>
        <w:i/>
        <w:iCs/>
      </w:rPr>
      <w:t>de outubro</w:t>
    </w:r>
    <w:r w:rsidR="00080833">
      <w:rPr>
        <w:i/>
        <w:iCs/>
      </w:rPr>
      <w:t xml:space="preserve"> a 17 de novembro</w:t>
    </w:r>
    <w:r w:rsidR="00B61E95">
      <w:rPr>
        <w:i/>
        <w:iCs/>
      </w:rPr>
      <w:t xml:space="preserve"> </w:t>
    </w:r>
    <w:r w:rsidR="00627896">
      <w:rPr>
        <w:i/>
        <w:iCs/>
      </w:rPr>
      <w:t xml:space="preserve">de </w:t>
    </w:r>
    <w:r w:rsidR="00FE00AD" w:rsidRPr="005D1DE4">
      <w:rPr>
        <w:i/>
        <w:iCs/>
      </w:rPr>
      <w:t>201</w:t>
    </w:r>
    <w:r w:rsidR="00582667">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04F4E"/>
    <w:rsid w:val="00005D07"/>
    <w:rsid w:val="00010911"/>
    <w:rsid w:val="0001157D"/>
    <w:rsid w:val="000228E6"/>
    <w:rsid w:val="00032056"/>
    <w:rsid w:val="000322FB"/>
    <w:rsid w:val="000425FC"/>
    <w:rsid w:val="00050E85"/>
    <w:rsid w:val="00056752"/>
    <w:rsid w:val="00057B87"/>
    <w:rsid w:val="0006020E"/>
    <w:rsid w:val="000733B4"/>
    <w:rsid w:val="00073880"/>
    <w:rsid w:val="00075BDB"/>
    <w:rsid w:val="00080833"/>
    <w:rsid w:val="00080F10"/>
    <w:rsid w:val="00085E05"/>
    <w:rsid w:val="0009237D"/>
    <w:rsid w:val="00093AE9"/>
    <w:rsid w:val="00093BA8"/>
    <w:rsid w:val="000A04E6"/>
    <w:rsid w:val="000B4D41"/>
    <w:rsid w:val="000B67DF"/>
    <w:rsid w:val="000B7CDE"/>
    <w:rsid w:val="000C3022"/>
    <w:rsid w:val="000C672B"/>
    <w:rsid w:val="000E0A91"/>
    <w:rsid w:val="0010360D"/>
    <w:rsid w:val="00111E6A"/>
    <w:rsid w:val="0011575C"/>
    <w:rsid w:val="0011692E"/>
    <w:rsid w:val="00137564"/>
    <w:rsid w:val="00137DC1"/>
    <w:rsid w:val="0015612D"/>
    <w:rsid w:val="001655D0"/>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14FE"/>
    <w:rsid w:val="00206810"/>
    <w:rsid w:val="002168DE"/>
    <w:rsid w:val="00216BA3"/>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175B"/>
    <w:rsid w:val="003B3EB5"/>
    <w:rsid w:val="003B4E23"/>
    <w:rsid w:val="003B767E"/>
    <w:rsid w:val="003C6FE7"/>
    <w:rsid w:val="003D032E"/>
    <w:rsid w:val="003D4205"/>
    <w:rsid w:val="003F2078"/>
    <w:rsid w:val="0042772A"/>
    <w:rsid w:val="004323B0"/>
    <w:rsid w:val="00444E88"/>
    <w:rsid w:val="0045657C"/>
    <w:rsid w:val="004655CC"/>
    <w:rsid w:val="00465AF1"/>
    <w:rsid w:val="00466DB9"/>
    <w:rsid w:val="004748C8"/>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26F9"/>
    <w:rsid w:val="0051538E"/>
    <w:rsid w:val="00517E01"/>
    <w:rsid w:val="00521EEC"/>
    <w:rsid w:val="005460BD"/>
    <w:rsid w:val="00553197"/>
    <w:rsid w:val="0055409E"/>
    <w:rsid w:val="00556367"/>
    <w:rsid w:val="00556B35"/>
    <w:rsid w:val="00573E13"/>
    <w:rsid w:val="00582667"/>
    <w:rsid w:val="00584F82"/>
    <w:rsid w:val="00591DFA"/>
    <w:rsid w:val="005A5695"/>
    <w:rsid w:val="005A779D"/>
    <w:rsid w:val="005B2A3C"/>
    <w:rsid w:val="005B2F00"/>
    <w:rsid w:val="005B57DE"/>
    <w:rsid w:val="005C1886"/>
    <w:rsid w:val="005C34BA"/>
    <w:rsid w:val="005C761E"/>
    <w:rsid w:val="005D0E5F"/>
    <w:rsid w:val="005D1DE4"/>
    <w:rsid w:val="005D4F86"/>
    <w:rsid w:val="005E1A86"/>
    <w:rsid w:val="005E35BD"/>
    <w:rsid w:val="005E3D4D"/>
    <w:rsid w:val="005E7FD1"/>
    <w:rsid w:val="005F2858"/>
    <w:rsid w:val="005F7346"/>
    <w:rsid w:val="006002E3"/>
    <w:rsid w:val="006145AC"/>
    <w:rsid w:val="00615F98"/>
    <w:rsid w:val="0061615D"/>
    <w:rsid w:val="00621F9C"/>
    <w:rsid w:val="00627896"/>
    <w:rsid w:val="00631166"/>
    <w:rsid w:val="00631F1C"/>
    <w:rsid w:val="006366A4"/>
    <w:rsid w:val="006456B1"/>
    <w:rsid w:val="006564EC"/>
    <w:rsid w:val="0066084C"/>
    <w:rsid w:val="00662551"/>
    <w:rsid w:val="00672CF9"/>
    <w:rsid w:val="00672E11"/>
    <w:rsid w:val="0068273B"/>
    <w:rsid w:val="00691234"/>
    <w:rsid w:val="006931CC"/>
    <w:rsid w:val="006947F2"/>
    <w:rsid w:val="00697919"/>
    <w:rsid w:val="006A65B4"/>
    <w:rsid w:val="006B0757"/>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51607"/>
    <w:rsid w:val="007614F1"/>
    <w:rsid w:val="007618C5"/>
    <w:rsid w:val="00764066"/>
    <w:rsid w:val="00776118"/>
    <w:rsid w:val="007B0F83"/>
    <w:rsid w:val="007C5618"/>
    <w:rsid w:val="007D29A1"/>
    <w:rsid w:val="007E0EA7"/>
    <w:rsid w:val="007E3F23"/>
    <w:rsid w:val="007F142E"/>
    <w:rsid w:val="007F7B5E"/>
    <w:rsid w:val="00802B1A"/>
    <w:rsid w:val="0080615C"/>
    <w:rsid w:val="0081027F"/>
    <w:rsid w:val="0081742D"/>
    <w:rsid w:val="00821F4D"/>
    <w:rsid w:val="00823906"/>
    <w:rsid w:val="00823D61"/>
    <w:rsid w:val="008409D3"/>
    <w:rsid w:val="00845559"/>
    <w:rsid w:val="00854DB8"/>
    <w:rsid w:val="00854EF2"/>
    <w:rsid w:val="00863B86"/>
    <w:rsid w:val="00871F69"/>
    <w:rsid w:val="008842D0"/>
    <w:rsid w:val="00884AC4"/>
    <w:rsid w:val="0088579D"/>
    <w:rsid w:val="008A0948"/>
    <w:rsid w:val="008A2A73"/>
    <w:rsid w:val="008A7953"/>
    <w:rsid w:val="008B3081"/>
    <w:rsid w:val="008B32D4"/>
    <w:rsid w:val="008C1F97"/>
    <w:rsid w:val="008D0020"/>
    <w:rsid w:val="008D3C38"/>
    <w:rsid w:val="008D6A05"/>
    <w:rsid w:val="008E2AE5"/>
    <w:rsid w:val="008E3F89"/>
    <w:rsid w:val="008F26CB"/>
    <w:rsid w:val="008F6509"/>
    <w:rsid w:val="008F79D9"/>
    <w:rsid w:val="009027C8"/>
    <w:rsid w:val="0093467A"/>
    <w:rsid w:val="0094155C"/>
    <w:rsid w:val="00951531"/>
    <w:rsid w:val="009576A1"/>
    <w:rsid w:val="00960A3B"/>
    <w:rsid w:val="00967DE0"/>
    <w:rsid w:val="00971E07"/>
    <w:rsid w:val="00980944"/>
    <w:rsid w:val="00986D77"/>
    <w:rsid w:val="009943EC"/>
    <w:rsid w:val="009A32D5"/>
    <w:rsid w:val="009A6ADB"/>
    <w:rsid w:val="009B4E0B"/>
    <w:rsid w:val="009B6012"/>
    <w:rsid w:val="009C102D"/>
    <w:rsid w:val="009C2A4F"/>
    <w:rsid w:val="009D4146"/>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61E95"/>
    <w:rsid w:val="00B67CE0"/>
    <w:rsid w:val="00B73FFA"/>
    <w:rsid w:val="00B77069"/>
    <w:rsid w:val="00B874F1"/>
    <w:rsid w:val="00BB46CE"/>
    <w:rsid w:val="00BC1DE7"/>
    <w:rsid w:val="00BC5AEE"/>
    <w:rsid w:val="00BD6029"/>
    <w:rsid w:val="00BE0541"/>
    <w:rsid w:val="00BE1ADB"/>
    <w:rsid w:val="00C02586"/>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CE392D"/>
    <w:rsid w:val="00D01C50"/>
    <w:rsid w:val="00D06690"/>
    <w:rsid w:val="00D11B24"/>
    <w:rsid w:val="00D133C8"/>
    <w:rsid w:val="00D14DB8"/>
    <w:rsid w:val="00D244D5"/>
    <w:rsid w:val="00D2776A"/>
    <w:rsid w:val="00D413DB"/>
    <w:rsid w:val="00D420E2"/>
    <w:rsid w:val="00D4459D"/>
    <w:rsid w:val="00D56443"/>
    <w:rsid w:val="00D573F9"/>
    <w:rsid w:val="00D6058B"/>
    <w:rsid w:val="00D63EC5"/>
    <w:rsid w:val="00D72C05"/>
    <w:rsid w:val="00D847CF"/>
    <w:rsid w:val="00DA0A99"/>
    <w:rsid w:val="00DA7603"/>
    <w:rsid w:val="00DA7E39"/>
    <w:rsid w:val="00DA7EDE"/>
    <w:rsid w:val="00DC0AB5"/>
    <w:rsid w:val="00DC50EB"/>
    <w:rsid w:val="00DD3FA0"/>
    <w:rsid w:val="00DE1D07"/>
    <w:rsid w:val="00DE5B2D"/>
    <w:rsid w:val="00DE5CE9"/>
    <w:rsid w:val="00E03064"/>
    <w:rsid w:val="00E04BD5"/>
    <w:rsid w:val="00E070D2"/>
    <w:rsid w:val="00E1539C"/>
    <w:rsid w:val="00E162B6"/>
    <w:rsid w:val="00E16E01"/>
    <w:rsid w:val="00E22154"/>
    <w:rsid w:val="00E24A50"/>
    <w:rsid w:val="00E35639"/>
    <w:rsid w:val="00E432CC"/>
    <w:rsid w:val="00E50711"/>
    <w:rsid w:val="00E60EDA"/>
    <w:rsid w:val="00E62BBC"/>
    <w:rsid w:val="00E85D6F"/>
    <w:rsid w:val="00E9503C"/>
    <w:rsid w:val="00E956D9"/>
    <w:rsid w:val="00EA1958"/>
    <w:rsid w:val="00EA29F5"/>
    <w:rsid w:val="00EA482D"/>
    <w:rsid w:val="00EB5731"/>
    <w:rsid w:val="00EB5FE6"/>
    <w:rsid w:val="00EB61A5"/>
    <w:rsid w:val="00EB7A09"/>
    <w:rsid w:val="00EC5AF4"/>
    <w:rsid w:val="00EC5B58"/>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7499A"/>
    <w:rsid w:val="00F811CD"/>
    <w:rsid w:val="00F82D8F"/>
    <w:rsid w:val="00F83F62"/>
    <w:rsid w:val="00F9711D"/>
    <w:rsid w:val="00FA75E0"/>
    <w:rsid w:val="00FB0E75"/>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f21">
    <w:name w:val="f21"/>
    <w:rsid w:val="009576A1"/>
    <w:rPr>
      <w:rFonts w:ascii="Times" w:hAnsi="Times" w:cs="Times"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130&amp;digitoTst=39&amp;anoTst=2014&amp;orgaoTst=5&amp;tribunalTst=05&amp;varaTst=0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044&amp;digitoTst=78&amp;anoTst=2013&amp;orgaoTst=5&amp;tribunalTst=00&amp;varaTst=000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2004-0E87-40F2-8606-3BF622C4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3104</CharactersWithSpaces>
  <SharedDoc>false</SharedDoc>
  <HLinks>
    <vt:vector size="12" baseType="variant">
      <vt:variant>
        <vt:i4>6619258</vt:i4>
      </vt:variant>
      <vt:variant>
        <vt:i4>3</vt:i4>
      </vt:variant>
      <vt:variant>
        <vt:i4>0</vt:i4>
      </vt:variant>
      <vt:variant>
        <vt:i4>5</vt:i4>
      </vt:variant>
      <vt:variant>
        <vt:lpwstr>https://aplicacao5.tst.jus.br/consultaProcessual/consultaTstNumUnica.do?consulta=Consultar&amp;conscsjt=&amp;numeroTst=1044&amp;digitoTst=78&amp;anoTst=2013&amp;orgaoTst=5&amp;tribunalTst=00&amp;varaTst=0000</vt:lpwstr>
      </vt:variant>
      <vt:variant>
        <vt:lpwstr/>
      </vt:variant>
      <vt:variant>
        <vt:i4>2359359</vt:i4>
      </vt:variant>
      <vt:variant>
        <vt:i4>0</vt:i4>
      </vt:variant>
      <vt:variant>
        <vt:i4>0</vt:i4>
      </vt:variant>
      <vt:variant>
        <vt:i4>5</vt:i4>
      </vt:variant>
      <vt:variant>
        <vt:lpwstr>https://aplicacao5.tst.jus.br/consultaProcessual/consultaTstNumUnica.do?consulta=Consultar&amp;conscsjt=&amp;numeroTst=130&amp;digitoTst=39&amp;anoTst=2014&amp;orgaoTst=5&amp;tribunalTst=05&amp;varaTst=0000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2014-10-30T17:17:00Z</cp:lastPrinted>
  <dcterms:created xsi:type="dcterms:W3CDTF">2018-06-27T21:47:00Z</dcterms:created>
  <dcterms:modified xsi:type="dcterms:W3CDTF">2018-06-27T21:47:00Z</dcterms:modified>
</cp:coreProperties>
</file>