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631F1C" w:rsidRPr="00971E07" w:rsidRDefault="00631F1C" w:rsidP="00631F1C">
      <w:pPr>
        <w:pStyle w:val="Corp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SEÇÃO ESPECIALIZADA EM DISSÍDIOS COLETIVOS</w:t>
      </w:r>
    </w:p>
    <w:p w:rsidR="00C71A3B" w:rsidRPr="00EB6C1B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</w:pPr>
    </w:p>
    <w:p w:rsidR="004A094C" w:rsidRPr="00895CC6" w:rsidRDefault="004A094C" w:rsidP="004A094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Embargos de declaração em recurso ordinário. Processo eletrônico. Interposição do recurso antes da publicação do acórdão impugnado. Tempestividade. Inaplicabilidade da Súmula nº 434, I, do TST. Lei nº 7.701/88. Concessão de efeito modificativo ao julgado.</w:t>
      </w:r>
    </w:p>
    <w:p w:rsidR="004A094C" w:rsidRPr="00895CC6" w:rsidRDefault="004A094C" w:rsidP="004A094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É inaplicável aos dissídios coletivos o entendimento contido na Súmula nº 434, I, do TST, segundo o qual </w:t>
      </w:r>
      <w:r w:rsidRPr="00975930">
        <w:rPr>
          <w:rFonts w:ascii="Times New Roman" w:eastAsia="Calibri" w:hAnsi="Times New Roman" w:cs="Times New Roman"/>
          <w:color w:val="auto"/>
          <w:lang w:val="pt-BR" w:eastAsia="en-US"/>
        </w:rPr>
        <w:t>é extemporâneo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o</w:t>
      </w:r>
      <w:r w:rsidRPr="00975930">
        <w:rPr>
          <w:rFonts w:ascii="Times New Roman" w:eastAsia="Calibri" w:hAnsi="Times New Roman" w:cs="Times New Roman"/>
          <w:color w:val="auto"/>
          <w:lang w:val="pt-BR" w:eastAsia="en-US"/>
        </w:rPr>
        <w:t xml:space="preserve"> recurso interposto antes d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e publicado o acórdão impugnado, visto que </w:t>
      </w:r>
      <w:r w:rsidRPr="00B32BA5">
        <w:rPr>
          <w:rFonts w:ascii="Times New Roman" w:eastAsia="Calibri" w:hAnsi="Times New Roman" w:cs="Times New Roman"/>
          <w:color w:val="auto"/>
          <w:lang w:val="pt-BR" w:eastAsia="en-US"/>
        </w:rPr>
        <w:t>a Lei nº 7.701/88 estabele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ce</w:t>
      </w:r>
      <w:r w:rsidRPr="00B32BA5">
        <w:rPr>
          <w:rFonts w:ascii="Times New Roman" w:eastAsia="Calibri" w:hAnsi="Times New Roman" w:cs="Times New Roman"/>
          <w:color w:val="auto"/>
          <w:lang w:val="pt-BR" w:eastAsia="en-US"/>
        </w:rPr>
        <w:t xml:space="preserve"> rito especial para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os processos coletivos, não havendo falar em flexibilização do referido verbete sumular.</w:t>
      </w:r>
      <w:r w:rsidRPr="00B32BA5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Com esse entendimento, 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SDC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à unanimidade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, conheceu dos embargos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de declaração interpostos pelas embargantes para sanar vício no exame dos pressupostos extrínsecos 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do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ecurso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>rdinário e, conferindo efeito modificativo ao julgado, conhece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u do recurso ordinário e deu-lhe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 provimento </w:t>
      </w:r>
      <w:r w:rsidRPr="00F61BFB">
        <w:rPr>
          <w:rFonts w:ascii="Times New Roman" w:eastAsia="Calibri" w:hAnsi="Times New Roman" w:cs="Times New Roman"/>
          <w:color w:val="auto"/>
          <w:lang w:val="pt-BR" w:eastAsia="en-US"/>
        </w:rPr>
        <w:t>a fim de que seja excluída a cláusula que disciplinou a redução da jornada de trabalho dos motoristas e cobradores para 180 horas.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 Ressalv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aram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 a fundamentação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as</w:t>
      </w:r>
      <w:r w:rsidRPr="00E75367">
        <w:rPr>
          <w:rFonts w:ascii="Times New Roman" w:eastAsia="Calibri" w:hAnsi="Times New Roman" w:cs="Times New Roman"/>
          <w:color w:val="auto"/>
          <w:lang w:val="pt-BR" w:eastAsia="en-US"/>
        </w:rPr>
        <w:t xml:space="preserve"> Ministr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as Maria de Assis Calsing, relatora, e Dora Maria da Costa, as quais, não obstante entenderem que o item I da Súmula nº 434 do TST não se aplica aos dissídios coletivos, ressaltaram que </w:t>
      </w:r>
      <w:r>
        <w:rPr>
          <w:rFonts w:ascii="Times New Roman" w:hAnsi="Times New Roman"/>
          <w:lang w:val="pt-BR"/>
        </w:rPr>
        <w:t>a</w:t>
      </w:r>
      <w:r w:rsidRPr="009F3D7C">
        <w:rPr>
          <w:rFonts w:ascii="Times New Roman" w:hAnsi="Times New Roman"/>
          <w:lang w:val="pt-BR"/>
        </w:rPr>
        <w:t xml:space="preserve"> adoção do </w:t>
      </w:r>
      <w:r>
        <w:rPr>
          <w:rFonts w:ascii="Times New Roman" w:hAnsi="Times New Roman"/>
          <w:lang w:val="pt-BR"/>
        </w:rPr>
        <w:t>p</w:t>
      </w:r>
      <w:r w:rsidRPr="009F3D7C">
        <w:rPr>
          <w:rFonts w:ascii="Times New Roman" w:hAnsi="Times New Roman"/>
          <w:lang w:val="pt-BR"/>
        </w:rPr>
        <w:t xml:space="preserve">rocesso </w:t>
      </w:r>
      <w:r>
        <w:rPr>
          <w:rFonts w:ascii="Times New Roman" w:hAnsi="Times New Roman"/>
          <w:lang w:val="pt-BR"/>
        </w:rPr>
        <w:t>e</w:t>
      </w:r>
      <w:r w:rsidRPr="009F3D7C">
        <w:rPr>
          <w:rFonts w:ascii="Times New Roman" w:hAnsi="Times New Roman"/>
          <w:lang w:val="pt-BR"/>
        </w:rPr>
        <w:t>letrônico</w:t>
      </w:r>
      <w:r>
        <w:rPr>
          <w:rFonts w:ascii="Times New Roman" w:hAnsi="Times New Roman"/>
          <w:lang w:val="pt-BR"/>
        </w:rPr>
        <w:t>, previsto na Lei nº</w:t>
      </w:r>
      <w:r w:rsidRPr="009F3D7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11.419/06, </w:t>
      </w:r>
      <w:r w:rsidRPr="009F3D7C">
        <w:rPr>
          <w:rFonts w:ascii="Times New Roman" w:hAnsi="Times New Roman"/>
          <w:lang w:val="pt-BR"/>
        </w:rPr>
        <w:t>demanda novas reflexões acerca dos critérios de aferição da tempestividade dos atos processuais praticados</w:t>
      </w:r>
      <w:r>
        <w:rPr>
          <w:rFonts w:ascii="Times New Roman" w:hAnsi="Times New Roman"/>
          <w:lang w:val="pt-BR"/>
        </w:rPr>
        <w:t>, devendo haver a compatibilização entre a referida lei e o procedimento diferenciado estabelecido para os dissídios coletivos pela Lei nº 7.701/88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hyperlink r:id="rId8" w:history="1">
        <w:r w:rsidRPr="00F45608">
          <w:rPr>
            <w:rStyle w:val="Hyperlink"/>
            <w:rFonts w:ascii="Times New Roman" w:hAnsi="Times New Roman" w:cs="Courier New"/>
            <w:lang w:val="pt-BR"/>
          </w:rPr>
          <w:t>TST-ED-RO-6088-61.2013.5.15.0000</w:t>
        </w:r>
      </w:hyperlink>
      <w:r w:rsidRPr="00895CC6">
        <w:rPr>
          <w:rFonts w:ascii="Times New Roman" w:hAnsi="Times New Roman"/>
          <w:u w:val="single"/>
          <w:lang w:val="pt-BR"/>
        </w:rPr>
        <w:t xml:space="preserve">, </w:t>
      </w:r>
      <w:r>
        <w:rPr>
          <w:rFonts w:ascii="Times New Roman" w:hAnsi="Times New Roman"/>
          <w:u w:val="single"/>
          <w:lang w:val="pt-BR"/>
        </w:rPr>
        <w:t>SDC</w:t>
      </w:r>
      <w:r w:rsidRPr="00895CC6">
        <w:rPr>
          <w:rFonts w:ascii="Times New Roman" w:hAnsi="Times New Roman"/>
          <w:u w:val="single"/>
          <w:lang w:val="pt-BR"/>
        </w:rPr>
        <w:t xml:space="preserve">, rel. Min. </w:t>
      </w:r>
      <w:r>
        <w:rPr>
          <w:rFonts w:ascii="Times New Roman" w:hAnsi="Times New Roman"/>
          <w:u w:val="single"/>
          <w:lang w:val="pt-BR"/>
        </w:rPr>
        <w:t>Maria de Assis Calsing</w:t>
      </w:r>
      <w:r w:rsidRPr="00895CC6">
        <w:rPr>
          <w:rFonts w:ascii="Times New Roman" w:hAnsi="Times New Roman"/>
          <w:u w:val="single"/>
          <w:lang w:val="pt-BR"/>
        </w:rPr>
        <w:t xml:space="preserve">, </w:t>
      </w:r>
      <w:r>
        <w:rPr>
          <w:rFonts w:ascii="Times New Roman" w:hAnsi="Times New Roman"/>
          <w:u w:val="single"/>
          <w:lang w:val="pt-BR"/>
        </w:rPr>
        <w:t>15</w:t>
      </w:r>
      <w:r w:rsidRPr="00895CC6">
        <w:rPr>
          <w:rFonts w:ascii="Times New Roman" w:hAnsi="Times New Roman"/>
          <w:u w:val="single"/>
          <w:lang w:val="pt-BR"/>
        </w:rPr>
        <w:t>.</w:t>
      </w:r>
      <w:r>
        <w:rPr>
          <w:rFonts w:ascii="Times New Roman" w:hAnsi="Times New Roman"/>
          <w:u w:val="single"/>
          <w:lang w:val="pt-BR"/>
        </w:rPr>
        <w:t>12.2014</w:t>
      </w:r>
    </w:p>
    <w:p w:rsidR="00C71A3B" w:rsidRPr="00EB6C1B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20"/>
          <w:szCs w:val="20"/>
          <w:lang w:val="pt-BR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FE00AD" w:rsidRPr="00EB6C1B" w:rsidRDefault="00FE00AD" w:rsidP="00F82D8F">
      <w:pPr>
        <w:pStyle w:val="Corpodetexto2"/>
        <w:jc w:val="center"/>
        <w:rPr>
          <w:b/>
          <w:bCs/>
          <w:emboss/>
          <w:sz w:val="20"/>
          <w:szCs w:val="20"/>
        </w:rPr>
      </w:pPr>
    </w:p>
    <w:p w:rsidR="004A094C" w:rsidRDefault="004A094C" w:rsidP="004A094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Multa administrativa. Descumprimento do art. 41 da CLT.</w:t>
      </w:r>
      <w:r w:rsidRPr="007C186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Falta de registro de empregados. </w:t>
      </w:r>
      <w:r w:rsidRPr="007C1869">
        <w:rPr>
          <w:b/>
          <w:i/>
          <w:sz w:val="24"/>
          <w:szCs w:val="24"/>
        </w:rPr>
        <w:t xml:space="preserve">Terceirização ilícita. </w:t>
      </w:r>
      <w:r>
        <w:rPr>
          <w:b/>
          <w:i/>
          <w:sz w:val="24"/>
          <w:szCs w:val="24"/>
        </w:rPr>
        <w:t>E</w:t>
      </w:r>
      <w:r w:rsidRPr="007C1869">
        <w:rPr>
          <w:b/>
          <w:i/>
          <w:sz w:val="24"/>
          <w:szCs w:val="24"/>
        </w:rPr>
        <w:t>mpresa</w:t>
      </w:r>
      <w:r>
        <w:rPr>
          <w:b/>
          <w:i/>
          <w:sz w:val="24"/>
          <w:szCs w:val="24"/>
        </w:rPr>
        <w:t xml:space="preserve"> tomadora </w:t>
      </w:r>
      <w:r w:rsidRPr="007C1869">
        <w:rPr>
          <w:b/>
          <w:i/>
          <w:sz w:val="24"/>
          <w:szCs w:val="24"/>
        </w:rPr>
        <w:t>integrante da administração pública indireta</w:t>
      </w:r>
      <w:r>
        <w:rPr>
          <w:b/>
          <w:i/>
          <w:sz w:val="24"/>
          <w:szCs w:val="24"/>
        </w:rPr>
        <w:t>. Invalidade do auto de infração.</w:t>
      </w:r>
    </w:p>
    <w:p w:rsidR="004A094C" w:rsidRDefault="004A094C" w:rsidP="004A094C">
      <w:pPr>
        <w:jc w:val="both"/>
        <w:rPr>
          <w:u w:val="single"/>
        </w:rPr>
      </w:pPr>
      <w:r>
        <w:rPr>
          <w:sz w:val="24"/>
          <w:szCs w:val="24"/>
        </w:rPr>
        <w:t xml:space="preserve">É inválida a </w:t>
      </w:r>
      <w:r w:rsidRPr="00C527BC">
        <w:rPr>
          <w:sz w:val="24"/>
          <w:szCs w:val="24"/>
        </w:rPr>
        <w:t>lavratura de auto de infração pelo descumprimento do disposto no art. 41 da CLT</w:t>
      </w:r>
      <w:r>
        <w:rPr>
          <w:sz w:val="24"/>
          <w:szCs w:val="24"/>
        </w:rPr>
        <w:t xml:space="preserve"> por parte de sociedade de economia mista, tomadora dos serviços, que não mantinha o registro dos empregados contratados por intermédio de empresa interposta, ainda que reconhecida a ilicitude da terceirização. Na hipótese, não se pode exigir o cumprimento do art. 41 da CLT, pois o art. 37, II, da CF proíbe, expressamente, o reconhecimento de vínculo de emprego com entes da administração pública direta e indireta sem a prévia aprovação em concurso público. Assim sendo, conclui-se que a multa administrativa aplicada pelo auditor-fiscal do trabalho com base na não observância do art. 41 da CLT pressupõe a possibilidade de livre contratação de empregados pela empresa autuada, o que não ocorre no caso concreto em razão da natureza jurídica ostentada pela reclamada, sociedade de economia mista. </w:t>
      </w:r>
      <w:r w:rsidRPr="003D032E">
        <w:rPr>
          <w:sz w:val="24"/>
          <w:szCs w:val="24"/>
        </w:rPr>
        <w:t xml:space="preserve">Com esse entendimento, a </w:t>
      </w:r>
      <w:r>
        <w:rPr>
          <w:sz w:val="24"/>
          <w:szCs w:val="24"/>
        </w:rPr>
        <w:t xml:space="preserve">SBDI-I, por unanimidade, conheceu dos embargos interpostos pela tomadora dos serviços, por divergência jurisprudencial, e, no mérito, </w:t>
      </w:r>
      <w:r w:rsidRPr="003B102D">
        <w:rPr>
          <w:sz w:val="24"/>
          <w:szCs w:val="24"/>
        </w:rPr>
        <w:t>por maioria</w:t>
      </w:r>
      <w:r>
        <w:rPr>
          <w:sz w:val="24"/>
          <w:szCs w:val="24"/>
        </w:rPr>
        <w:t xml:space="preserve">, deu-lhes provimento </w:t>
      </w:r>
      <w:r w:rsidRPr="007E3772">
        <w:rPr>
          <w:sz w:val="24"/>
          <w:szCs w:val="24"/>
        </w:rPr>
        <w:t>para julgar procedente o pedido constante da ação anulatória e, por conseguinte, declarar nulo o auto de infração lavrado em face da ora embargante, bem como as multas administrativas decorrentes</w:t>
      </w:r>
      <w:r>
        <w:rPr>
          <w:sz w:val="24"/>
          <w:szCs w:val="24"/>
        </w:rPr>
        <w:t xml:space="preserve">. Vencidos os Ministros Luiz Philippe Vieira de Mello Filho, Lelio Bentes Corrêa, Augusto César Leite de Carvalho, José Roberto Freire Pimenta e Hugo Carlos </w:t>
      </w:r>
      <w:r>
        <w:rPr>
          <w:sz w:val="24"/>
          <w:szCs w:val="24"/>
        </w:rPr>
        <w:lastRenderedPageBreak/>
        <w:t xml:space="preserve">Scheuermann. </w:t>
      </w:r>
      <w:hyperlink r:id="rId9" w:history="1">
        <w:r w:rsidRPr="00F45608">
          <w:rPr>
            <w:rStyle w:val="Hyperlink"/>
            <w:sz w:val="24"/>
            <w:szCs w:val="24"/>
          </w:rPr>
          <w:t>TST-E-ED-RR-113600-56.2008.5.18.0013</w:t>
        </w:r>
      </w:hyperlink>
      <w:r w:rsidRPr="00621652">
        <w:rPr>
          <w:sz w:val="24"/>
          <w:szCs w:val="24"/>
          <w:u w:val="single"/>
        </w:rPr>
        <w:t xml:space="preserve">, SBDI-I, rel. Min. </w:t>
      </w:r>
      <w:r>
        <w:rPr>
          <w:sz w:val="24"/>
          <w:szCs w:val="24"/>
          <w:u w:val="single"/>
        </w:rPr>
        <w:t xml:space="preserve">Guilherme Augusto </w:t>
      </w:r>
      <w:r w:rsidRPr="00621652">
        <w:rPr>
          <w:sz w:val="24"/>
          <w:szCs w:val="24"/>
          <w:u w:val="single"/>
        </w:rPr>
        <w:t>Caputo Bastos 11.12.2014</w:t>
      </w:r>
    </w:p>
    <w:p w:rsidR="00BC1DE7" w:rsidRPr="00EB6C1B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20"/>
          <w:szCs w:val="20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9027C8" w:rsidRPr="00EB6C1B" w:rsidRDefault="009027C8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i/>
          <w:caps w:val="0"/>
          <w:color w:val="auto"/>
          <w:sz w:val="20"/>
          <w:szCs w:val="20"/>
        </w:rPr>
      </w:pPr>
    </w:p>
    <w:p w:rsidR="004A094C" w:rsidRPr="00C40C8C" w:rsidRDefault="004A094C" w:rsidP="004A094C">
      <w:pPr>
        <w:jc w:val="both"/>
        <w:rPr>
          <w:b/>
          <w:i/>
          <w:sz w:val="24"/>
          <w:szCs w:val="24"/>
        </w:rPr>
      </w:pPr>
      <w:r w:rsidRPr="00C40C8C">
        <w:rPr>
          <w:b/>
          <w:i/>
          <w:sz w:val="24"/>
          <w:szCs w:val="24"/>
        </w:rPr>
        <w:t xml:space="preserve">Recurso ordinário em mandado de segurança. Não conhecimento. Inexistência de capacidade postulatória da autoridade coatora. Atribuição de legitimação recursal concorrente. Art. 14, § 2º, da </w:t>
      </w:r>
      <w:r>
        <w:rPr>
          <w:b/>
          <w:i/>
          <w:sz w:val="24"/>
          <w:szCs w:val="24"/>
        </w:rPr>
        <w:t>L</w:t>
      </w:r>
      <w:r w:rsidRPr="00C40C8C">
        <w:rPr>
          <w:b/>
          <w:i/>
          <w:sz w:val="24"/>
          <w:szCs w:val="24"/>
        </w:rPr>
        <w:t xml:space="preserve">ei nº 12.016/2009. Vedação à adoção do </w:t>
      </w:r>
      <w:r w:rsidRPr="00C40C8C">
        <w:rPr>
          <w:i/>
          <w:sz w:val="24"/>
          <w:szCs w:val="24"/>
        </w:rPr>
        <w:t>jus postulandi</w:t>
      </w:r>
      <w:r w:rsidRPr="004111EE">
        <w:rPr>
          <w:i/>
          <w:sz w:val="24"/>
          <w:szCs w:val="24"/>
        </w:rPr>
        <w:t xml:space="preserve">. </w:t>
      </w:r>
      <w:r w:rsidRPr="00C40C8C">
        <w:rPr>
          <w:b/>
          <w:i/>
          <w:sz w:val="24"/>
          <w:szCs w:val="24"/>
        </w:rPr>
        <w:t>Irregularidade de representação.</w:t>
      </w:r>
    </w:p>
    <w:p w:rsidR="004A094C" w:rsidRPr="00D44089" w:rsidRDefault="004A094C" w:rsidP="004A094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lang w:val="pt-BR" w:eastAsia="en-US"/>
        </w:rPr>
      </w:pPr>
      <w:r w:rsidRPr="00C40C8C">
        <w:rPr>
          <w:rFonts w:ascii="Times New Roman" w:eastAsia="Calibri" w:hAnsi="Times New Roman" w:cs="Times New Roman"/>
          <w:color w:val="auto"/>
          <w:lang w:val="pt-BR" w:eastAsia="en-US"/>
        </w:rPr>
        <w:t xml:space="preserve">Com o advento da Lei nº 12.016/2009, e consoante o disposto no seu art. 14, § 2º, a autoridade coatora adquiriu legitimidade para recorrer das decisões concessivas de segurança.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Todavia, o</w:t>
      </w:r>
      <w:r w:rsidRPr="00C40C8C">
        <w:rPr>
          <w:rFonts w:ascii="Times New Roman" w:eastAsia="Calibri" w:hAnsi="Times New Roman" w:cs="Times New Roman"/>
          <w:color w:val="auto"/>
          <w:lang w:val="pt-BR" w:eastAsia="en-US"/>
        </w:rPr>
        <w:t xml:space="preserve"> direito de recorrer a que alude tal dispositivo traduz o conceito de legitimação recursal concorrente, o que não se confunde com a capacidade postulatória atribuída notadamente a advogados. Assim, existindo 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intenção de interpor recurso </w:t>
      </w:r>
      <w:r w:rsidRPr="00C40C8C">
        <w:rPr>
          <w:rFonts w:ascii="Times New Roman" w:eastAsia="Calibri" w:hAnsi="Times New Roman" w:cs="Times New Roman"/>
          <w:color w:val="auto"/>
          <w:lang w:val="pt-BR" w:eastAsia="en-US"/>
        </w:rPr>
        <w:t>por parte da autoridade coatora, deve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ela</w:t>
      </w:r>
      <w:r w:rsidRPr="00C40C8C">
        <w:rPr>
          <w:rFonts w:ascii="Times New Roman" w:eastAsia="Calibri" w:hAnsi="Times New Roman" w:cs="Times New Roman"/>
          <w:color w:val="auto"/>
          <w:lang w:val="pt-BR" w:eastAsia="en-US"/>
        </w:rPr>
        <w:t xml:space="preserve"> se servir da advocacia pública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especialmente porque não se admite a adoção do </w:t>
      </w:r>
      <w:r>
        <w:rPr>
          <w:rFonts w:ascii="Times New Roman" w:eastAsia="Calibri" w:hAnsi="Times New Roman" w:cs="Times New Roman"/>
          <w:i/>
          <w:color w:val="auto"/>
          <w:lang w:val="pt-BR" w:eastAsia="en-US"/>
        </w:rPr>
        <w:t>jus postulandi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em sede de mandado de segurança, conforme se extrai da Súmula nº 425 do TST</w:t>
      </w:r>
      <w:r w:rsidRPr="00C40C8C">
        <w:rPr>
          <w:rFonts w:ascii="Times New Roman" w:eastAsia="Calibri" w:hAnsi="Times New Roman" w:cs="Times New Roman"/>
          <w:color w:val="auto"/>
          <w:lang w:val="pt-BR" w:eastAsia="en-US"/>
        </w:rPr>
        <w:t>. Com esse entendimento, SBDI-II, por maioria, não conheceu do recurso ordinário, por irregularidade de representação. Vencido o Ministro Emmanoel Pereira, que entendia pela declaração de nulidade do processo por ausência de intimação da AGU.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hyperlink r:id="rId10" w:history="1">
        <w:r w:rsidRPr="00F45608">
          <w:rPr>
            <w:rStyle w:val="Hyperlink"/>
            <w:rFonts w:ascii="Times New Roman" w:hAnsi="Times New Roman" w:cs="Courier New"/>
            <w:lang w:val="pt-BR"/>
          </w:rPr>
          <w:t>TST-RO-126400-41.2009.5.03.0000</w:t>
        </w:r>
      </w:hyperlink>
      <w:r w:rsidRPr="00C40C8C">
        <w:rPr>
          <w:rFonts w:ascii="Times New Roman" w:hAnsi="Times New Roman"/>
          <w:u w:val="single"/>
          <w:lang w:val="pt-BR"/>
        </w:rPr>
        <w:t>, SBDI-II, rel. Min. Alberto Luiz Bresciani de Fontan Pereira, 9.12.2014</w:t>
      </w:r>
    </w:p>
    <w:p w:rsidR="004A094C" w:rsidRDefault="004A094C" w:rsidP="004A094C">
      <w:pPr>
        <w:jc w:val="both"/>
        <w:rPr>
          <w:b/>
          <w:bCs/>
          <w:i/>
        </w:rPr>
      </w:pPr>
    </w:p>
    <w:p w:rsidR="004A094C" w:rsidRPr="004A094C" w:rsidRDefault="004A094C" w:rsidP="004A094C">
      <w:pPr>
        <w:jc w:val="both"/>
        <w:rPr>
          <w:b/>
          <w:bCs/>
          <w:i/>
          <w:sz w:val="24"/>
          <w:szCs w:val="24"/>
        </w:rPr>
      </w:pPr>
      <w:r w:rsidRPr="004A094C">
        <w:rPr>
          <w:b/>
          <w:bCs/>
          <w:i/>
          <w:sz w:val="24"/>
          <w:szCs w:val="24"/>
        </w:rPr>
        <w:t xml:space="preserve">Ação rescisória. Pretensão de desconstituição de sentença proferida em ação civil pública. Autor afetado pelo provimento judicial coletivo. Ilegitimidade ativa </w:t>
      </w:r>
      <w:r w:rsidRPr="004A094C">
        <w:rPr>
          <w:bCs/>
          <w:i/>
          <w:sz w:val="24"/>
          <w:szCs w:val="24"/>
        </w:rPr>
        <w:t>ad causam</w:t>
      </w:r>
      <w:r w:rsidRPr="004A094C">
        <w:rPr>
          <w:b/>
          <w:bCs/>
          <w:i/>
          <w:sz w:val="24"/>
          <w:szCs w:val="24"/>
        </w:rPr>
        <w:t xml:space="preserve">. </w:t>
      </w:r>
    </w:p>
    <w:p w:rsidR="004A094C" w:rsidRPr="004A094C" w:rsidRDefault="004A094C" w:rsidP="004A094C">
      <w:pPr>
        <w:ind w:right="-71"/>
        <w:jc w:val="both"/>
        <w:rPr>
          <w:b/>
          <w:i/>
          <w:sz w:val="24"/>
          <w:szCs w:val="24"/>
        </w:rPr>
      </w:pPr>
      <w:r w:rsidRPr="004A094C">
        <w:rPr>
          <w:bCs/>
          <w:sz w:val="24"/>
          <w:szCs w:val="24"/>
        </w:rPr>
        <w:t xml:space="preserve">Candidato aprovado em concurso público anulado por decisão judicial transitada em julgado, proferida em ação civil pública, não detém legitimidade ativa </w:t>
      </w:r>
      <w:r w:rsidRPr="004A094C">
        <w:rPr>
          <w:bCs/>
          <w:i/>
          <w:sz w:val="24"/>
          <w:szCs w:val="24"/>
        </w:rPr>
        <w:t xml:space="preserve">ad causam </w:t>
      </w:r>
      <w:r w:rsidRPr="004A094C">
        <w:rPr>
          <w:bCs/>
          <w:sz w:val="24"/>
          <w:szCs w:val="24"/>
        </w:rPr>
        <w:t>para questionar, em sede de ação rescisória, a higidez do julgamento lavrado na ação coletiva. Na hipótese, ressaltou-se que não há falar em litisconsórcio passivo necessário em ação civil pública voltada à defesa de direitos e interesses difusos e coletivos, quanto aos sujeitos que possam ser alcançados pelos efeitos do provimento judicial a ser editado, daí decorrendo a ausência de legitimidade ativa de terceiro não habilitado para o debate coletivo (art. 82 da Lei nº 8.078/90) para o ajuizamento de ação rescisória. Desse modo, embora se possa resguardar aos afetados pelo provimento judicial coletivo a possibilidade de ingresso judicial (art. 5º, XXXV, da CF), a via da jurisdição coletiva não é o caminho processual adequado. Com esse entendimento, a SBDI-II, por unanimidade, conheceu e negou provimento ao recurso ordinário,</w:t>
      </w:r>
      <w:r w:rsidRPr="004A094C">
        <w:rPr>
          <w:sz w:val="24"/>
          <w:szCs w:val="24"/>
        </w:rPr>
        <w:t xml:space="preserve"> </w:t>
      </w:r>
      <w:r w:rsidRPr="004A094C">
        <w:rPr>
          <w:bCs/>
          <w:sz w:val="24"/>
          <w:szCs w:val="24"/>
        </w:rPr>
        <w:t xml:space="preserve">mantendo a decisão que indeferiu a petição inicial da ação rescisória. </w:t>
      </w:r>
      <w:hyperlink r:id="rId11" w:history="1">
        <w:r w:rsidRPr="00F45608">
          <w:rPr>
            <w:rStyle w:val="Hyperlink"/>
            <w:bCs/>
            <w:sz w:val="24"/>
            <w:szCs w:val="24"/>
          </w:rPr>
          <w:t>TST-RO-10261-64.2013.5.03.0000</w:t>
        </w:r>
      </w:hyperlink>
      <w:r w:rsidRPr="004A094C">
        <w:rPr>
          <w:bCs/>
          <w:sz w:val="24"/>
          <w:szCs w:val="24"/>
          <w:u w:val="single"/>
        </w:rPr>
        <w:t>, SBDI-II, rel. Min. Douglas Alencar Rodrigues, 16</w:t>
      </w:r>
      <w:r>
        <w:rPr>
          <w:bCs/>
          <w:sz w:val="24"/>
          <w:szCs w:val="24"/>
          <w:u w:val="single"/>
        </w:rPr>
        <w:t>.12.2014</w:t>
      </w:r>
    </w:p>
    <w:p w:rsidR="004A094C" w:rsidRDefault="004A094C" w:rsidP="005460BD">
      <w:pPr>
        <w:ind w:right="-71"/>
        <w:jc w:val="both"/>
        <w:rPr>
          <w:b/>
          <w:i/>
          <w:sz w:val="24"/>
          <w:szCs w:val="24"/>
        </w:rPr>
      </w:pPr>
    </w:p>
    <w:p w:rsidR="00EA29F5" w:rsidRPr="005D1DE4" w:rsidRDefault="00EA29F5" w:rsidP="004B21AD">
      <w:pPr>
        <w:pStyle w:val="EXPLICAO"/>
        <w:ind w:left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18" w:rsidRDefault="00D11C18">
      <w:r>
        <w:separator/>
      </w:r>
    </w:p>
  </w:endnote>
  <w:endnote w:type="continuationSeparator" w:id="0">
    <w:p w:rsidR="00D11C18" w:rsidRDefault="00D1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5D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605D27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18" w:rsidRDefault="00D11C18">
      <w:r>
        <w:separator/>
      </w:r>
    </w:p>
  </w:footnote>
  <w:footnote w:type="continuationSeparator" w:id="0">
    <w:p w:rsidR="00D11C18" w:rsidRDefault="00D1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EB6C1B">
      <w:rPr>
        <w:shadow/>
        <w:sz w:val="24"/>
        <w:szCs w:val="24"/>
      </w:rPr>
      <w:t>97</w:t>
    </w:r>
  </w:p>
  <w:p w:rsidR="00FE00AD" w:rsidRDefault="00187A37">
    <w:pPr>
      <w:pStyle w:val="Ttulo6"/>
      <w:spacing w:line="360" w:lineRule="auto"/>
      <w:jc w:val="right"/>
      <w:rPr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EB6C1B">
      <w:rPr>
        <w:sz w:val="20"/>
        <w:szCs w:val="20"/>
      </w:rPr>
      <w:t>25 de novembro a 16 de dezembro d</w:t>
    </w:r>
    <w:r w:rsidR="00FE00AD" w:rsidRPr="00971E07">
      <w:rPr>
        <w:sz w:val="20"/>
        <w:szCs w:val="20"/>
      </w:rPr>
      <w:t>e 20</w:t>
    </w:r>
    <w:r w:rsidR="00E16E01" w:rsidRPr="00971E07">
      <w:rPr>
        <w:sz w:val="20"/>
        <w:szCs w:val="20"/>
      </w:rPr>
      <w:t>1</w:t>
    </w:r>
    <w:r w:rsidR="00EB6C1B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45pt;height:76.7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4A094C">
      <w:rPr>
        <w:b/>
        <w:sz w:val="40"/>
        <w:szCs w:val="40"/>
      </w:rPr>
      <w:t>97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4A094C">
      <w:rPr>
        <w:i/>
        <w:iCs/>
      </w:rPr>
      <w:t>25 de novembro</w:t>
    </w:r>
    <w:r w:rsidR="00FE00AD" w:rsidRPr="005D1DE4">
      <w:rPr>
        <w:i/>
        <w:iCs/>
      </w:rPr>
      <w:t xml:space="preserve"> a </w:t>
    </w:r>
    <w:r w:rsidR="004A094C">
      <w:rPr>
        <w:i/>
        <w:iCs/>
      </w:rPr>
      <w:t>16</w:t>
    </w:r>
    <w:r w:rsidR="00FE00AD" w:rsidRPr="005D1DE4">
      <w:rPr>
        <w:i/>
        <w:iCs/>
      </w:rPr>
      <w:t xml:space="preserve"> de </w:t>
    </w:r>
    <w:r w:rsidR="004A094C">
      <w:rPr>
        <w:i/>
        <w:iCs/>
      </w:rPr>
      <w:t>dezembro de 2014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094C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05D27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1C18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64BC3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6C1B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456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6088&amp;digitoTst=61&amp;anoTst=2013&amp;orgaoTst=5&amp;tribunalTst=15&amp;varaTst=0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10261&amp;digitoTst=64&amp;anoTst=2013&amp;orgaoTst=5&amp;tribunalTst=03&amp;varaTst=0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licacao5.tst.jus.br/consultaProcessual/consultaTstNumUnica.do?consulta=Consultar&amp;conscsjt=&amp;numeroTst=126400&amp;digitoTst=41&amp;anoTst=2009&amp;orgaoTst=5&amp;tribunalTst=03&amp;varaTst=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113600&amp;digitoTst=56&amp;anoTst=2008&amp;orgaoTst=5&amp;tribunalTst=18&amp;varaTst=001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EA08-039A-49B8-B04F-923B3840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1159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7406</CharactersWithSpaces>
  <SharedDoc>false</SharedDoc>
  <HLinks>
    <vt:vector size="24" baseType="variant">
      <vt:variant>
        <vt:i4>1179654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https://aplicacao5.tst.jus.br/consultaProcessual/consultaTstNumUnica.do?consulta=Consultar&amp;conscsjt=&amp;numeroTst=10261&amp;digitoTst=64&amp;anoTst=2013&amp;orgaoTst=5&amp;tribunalTst=03&amp;varaTst=0000</vt:lpwstr>
      </vt:variant>
      <vt:variant>
        <vt:lpwstr/>
      </vt:variant>
      <vt:variant>
        <vt:i4>5701706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https://aplicacao5.tst.jus.br/consultaProcessual/consultaTstNumUnica.do?consulta=Consultar&amp;conscsjt=&amp;numeroTst=126400&amp;digitoTst=41&amp;anoTst=2009&amp;orgaoTst=5&amp;tribunalTst=03&amp;varaTst=0000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https://aplicacao5.tst.jus.br/consultaProcessual/consultaTstNumUnica.do?consulta=Consultar&amp;conscsjt=&amp;numeroTst=113600&amp;digitoTst=56&amp;anoTst=2008&amp;orgaoTst=5&amp;tribunalTst=18&amp;varaTst=0013</vt:lpwstr>
      </vt:variant>
      <vt:variant>
        <vt:lpwstr/>
      </vt:variant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https://aplicacao5.tst.jus.br/consultaProcessual/consultaTstNumUnica.do?consulta=Consultar&amp;conscsjt=&amp;numeroTst=6088&amp;digitoTst=61&amp;anoTst=2013&amp;orgaoTst=5&amp;tribunalTst=15&amp;varaTst=0000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2018-06-27T21:47:00Z</dcterms:created>
  <dcterms:modified xsi:type="dcterms:W3CDTF">2018-06-27T21:47:00Z</dcterms:modified>
</cp:coreProperties>
</file>