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971E07" w:rsidRDefault="00631F1C" w:rsidP="001C04EA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C10694" w:rsidRPr="001C04EA" w:rsidRDefault="00C10694" w:rsidP="00DC365C">
      <w:pPr>
        <w:jc w:val="both"/>
        <w:rPr>
          <w:b/>
          <w:i/>
          <w:sz w:val="10"/>
          <w:szCs w:val="10"/>
        </w:rPr>
      </w:pPr>
    </w:p>
    <w:p w:rsidR="001C04EA" w:rsidRPr="00895CC6" w:rsidRDefault="001C04EA" w:rsidP="001C04EA">
      <w:pPr>
        <w:jc w:val="both"/>
        <w:rPr>
          <w:b/>
          <w:i/>
          <w:sz w:val="24"/>
          <w:szCs w:val="24"/>
        </w:rPr>
      </w:pPr>
      <w:r w:rsidRPr="00AA752C">
        <w:rPr>
          <w:b/>
          <w:i/>
          <w:sz w:val="24"/>
          <w:szCs w:val="24"/>
        </w:rPr>
        <w:t xml:space="preserve">Professor. Redução </w:t>
      </w:r>
      <w:r>
        <w:rPr>
          <w:b/>
          <w:i/>
          <w:sz w:val="24"/>
          <w:szCs w:val="24"/>
        </w:rPr>
        <w:t>d</w:t>
      </w:r>
      <w:r w:rsidRPr="00AA752C">
        <w:rPr>
          <w:b/>
          <w:i/>
          <w:sz w:val="24"/>
          <w:szCs w:val="24"/>
        </w:rPr>
        <w:t xml:space="preserve">o </w:t>
      </w:r>
      <w:r>
        <w:rPr>
          <w:b/>
          <w:i/>
          <w:sz w:val="24"/>
          <w:szCs w:val="24"/>
        </w:rPr>
        <w:t>n</w:t>
      </w:r>
      <w:r w:rsidRPr="00AA752C">
        <w:rPr>
          <w:b/>
          <w:i/>
          <w:sz w:val="24"/>
          <w:szCs w:val="24"/>
        </w:rPr>
        <w:t xml:space="preserve">úmero </w:t>
      </w:r>
      <w:r>
        <w:rPr>
          <w:b/>
          <w:i/>
          <w:sz w:val="24"/>
          <w:szCs w:val="24"/>
        </w:rPr>
        <w:t>d</w:t>
      </w:r>
      <w:r w:rsidRPr="00AA752C">
        <w:rPr>
          <w:b/>
          <w:i/>
          <w:sz w:val="24"/>
          <w:szCs w:val="24"/>
        </w:rPr>
        <w:t xml:space="preserve">e </w:t>
      </w:r>
      <w:r>
        <w:rPr>
          <w:b/>
          <w:i/>
          <w:sz w:val="24"/>
          <w:szCs w:val="24"/>
        </w:rPr>
        <w:t>h</w:t>
      </w:r>
      <w:r w:rsidRPr="00AA752C">
        <w:rPr>
          <w:b/>
          <w:i/>
          <w:sz w:val="24"/>
          <w:szCs w:val="24"/>
        </w:rPr>
        <w:t>oras-</w:t>
      </w:r>
      <w:r>
        <w:rPr>
          <w:b/>
          <w:i/>
          <w:sz w:val="24"/>
          <w:szCs w:val="24"/>
        </w:rPr>
        <w:t xml:space="preserve">aula. </w:t>
      </w:r>
      <w:r w:rsidRPr="00AA752C">
        <w:rPr>
          <w:b/>
          <w:i/>
          <w:sz w:val="24"/>
          <w:szCs w:val="24"/>
        </w:rPr>
        <w:t xml:space="preserve">Prescrição </w:t>
      </w:r>
      <w:r>
        <w:rPr>
          <w:b/>
          <w:i/>
          <w:sz w:val="24"/>
          <w:szCs w:val="24"/>
        </w:rPr>
        <w:t>t</w:t>
      </w:r>
      <w:r w:rsidRPr="00AA752C">
        <w:rPr>
          <w:b/>
          <w:i/>
          <w:sz w:val="24"/>
          <w:szCs w:val="24"/>
        </w:rPr>
        <w:t xml:space="preserve">otal. </w:t>
      </w:r>
      <w:r>
        <w:rPr>
          <w:b/>
          <w:i/>
          <w:sz w:val="24"/>
          <w:szCs w:val="24"/>
        </w:rPr>
        <w:t>Súmula nº 294 do TST.</w:t>
      </w:r>
    </w:p>
    <w:p w:rsidR="001C04EA" w:rsidRPr="00895CC6" w:rsidRDefault="001C04EA" w:rsidP="001C04E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>A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 xml:space="preserve"> redução do número de horas-aula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>está sujeita à prescrição total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nos termos da Súmula nº 294 do TST,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por 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>caracteriza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>-se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 xml:space="preserve">como ato único do empregador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 não haver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 xml:space="preserve"> preceito de lei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que 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>assegur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</w:t>
      </w:r>
      <w:r w:rsidRPr="00B24658">
        <w:rPr>
          <w:rFonts w:ascii="Times New Roman" w:eastAsia="Calibri" w:hAnsi="Times New Roman" w:cs="Times New Roman"/>
          <w:color w:val="auto"/>
          <w:lang w:val="pt-BR" w:eastAsia="en-US"/>
        </w:rPr>
        <w:t xml:space="preserve"> ao professor a irredutibilidade do número de aulas.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Com esse entendimento, a SBDI-I,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por unanimidade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, conheceu dos embargos da reclama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nte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, por divergência jurisprudencial, e, no mérito, por maioria,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negou-lhes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 provimento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mantendo a decisão do Regional que declarara a prescrição total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. Vencidos os Ministros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8A793C">
        <w:rPr>
          <w:rFonts w:ascii="Times New Roman" w:eastAsia="Calibri" w:hAnsi="Times New Roman" w:cs="Times New Roman"/>
          <w:color w:val="auto"/>
          <w:lang w:val="pt-BR" w:eastAsia="en-US"/>
        </w:rPr>
        <w:t>Alexandre Agra Belmonte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relator, </w:t>
      </w:r>
      <w:r w:rsidRPr="008A793C">
        <w:rPr>
          <w:rFonts w:ascii="Times New Roman" w:eastAsia="Calibri" w:hAnsi="Times New Roman" w:cs="Times New Roman"/>
          <w:color w:val="auto"/>
          <w:lang w:val="pt-BR" w:eastAsia="en-US"/>
        </w:rPr>
        <w:t>Augusto César Leite de Carvalho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 w:rsidRPr="008A793C">
        <w:rPr>
          <w:rFonts w:ascii="Times New Roman" w:eastAsia="Calibri" w:hAnsi="Times New Roman" w:cs="Times New Roman"/>
          <w:color w:val="auto"/>
          <w:lang w:val="pt-BR" w:eastAsia="en-US"/>
        </w:rPr>
        <w:t>José Roberto Freire Pimenta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e </w:t>
      </w:r>
      <w:r w:rsidRPr="008A793C">
        <w:rPr>
          <w:rFonts w:ascii="Times New Roman" w:eastAsia="Calibri" w:hAnsi="Times New Roman" w:cs="Times New Roman"/>
          <w:color w:val="auto"/>
          <w:lang w:val="pt-BR" w:eastAsia="en-US"/>
        </w:rPr>
        <w:t>Hugo Carlos Scheuermann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os quais davam provimento ao recurso por entenderem que a diminuição da carga horária afeta o valor do salário do professor, o qual é assegurado pelo disposto nos arts. 7º, VI, da CF e 483, “g” da CLT, a ensejar, portanto, a incidência da prescrição parcial quinquenal. </w:t>
      </w:r>
      <w:hyperlink r:id="rId8" w:history="1">
        <w:r w:rsidRPr="001C04EA">
          <w:rPr>
            <w:rStyle w:val="Hyperlink"/>
            <w:rFonts w:ascii="Times New Roman" w:eastAsia="Calibri" w:hAnsi="Times New Roman"/>
            <w:lang w:val="pt-BR" w:eastAsia="en-US"/>
          </w:rPr>
          <w:t>TST-E-RR-2109-98.2012.5.03.0020</w:t>
        </w:r>
      </w:hyperlink>
      <w:r w:rsidRPr="008A793C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 xml:space="preserve">, SBDI-I, 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 xml:space="preserve">rel. Min. Alexandre Agra Belmonte, red. p/ acórdão </w:t>
      </w:r>
      <w:r w:rsidRPr="008A793C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Min. Renato de Lacerda Paiva, 16.10.2014</w:t>
      </w:r>
    </w:p>
    <w:p w:rsidR="001C04EA" w:rsidRDefault="001C04EA" w:rsidP="001C04EA">
      <w:pPr>
        <w:jc w:val="both"/>
        <w:rPr>
          <w:b/>
          <w:i/>
          <w:sz w:val="24"/>
          <w:szCs w:val="24"/>
        </w:rPr>
      </w:pPr>
    </w:p>
    <w:p w:rsidR="001C04EA" w:rsidRPr="00895CC6" w:rsidRDefault="001C04EA" w:rsidP="001C04E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CEF. Greve. Dias não trabalhados. D</w:t>
      </w:r>
      <w:r w:rsidRPr="00003DAA">
        <w:rPr>
          <w:b/>
          <w:i/>
          <w:sz w:val="24"/>
          <w:szCs w:val="24"/>
        </w:rPr>
        <w:t>escontos salariais</w:t>
      </w:r>
      <w:r>
        <w:rPr>
          <w:b/>
          <w:i/>
          <w:sz w:val="24"/>
          <w:szCs w:val="24"/>
        </w:rPr>
        <w:t>. N</w:t>
      </w:r>
      <w:r w:rsidRPr="00003DAA">
        <w:rPr>
          <w:b/>
          <w:i/>
          <w:sz w:val="24"/>
          <w:szCs w:val="24"/>
        </w:rPr>
        <w:t>orma regulamentar</w:t>
      </w:r>
      <w:r>
        <w:rPr>
          <w:b/>
          <w:i/>
          <w:sz w:val="24"/>
          <w:szCs w:val="24"/>
        </w:rPr>
        <w:t xml:space="preserve"> autorizadora. Termos </w:t>
      </w:r>
      <w:r w:rsidRPr="00003DAA">
        <w:rPr>
          <w:b/>
          <w:i/>
          <w:sz w:val="24"/>
          <w:szCs w:val="24"/>
        </w:rPr>
        <w:t xml:space="preserve">aditivos </w:t>
      </w:r>
      <w:r>
        <w:rPr>
          <w:b/>
          <w:i/>
          <w:sz w:val="24"/>
          <w:szCs w:val="24"/>
        </w:rPr>
        <w:t>a</w:t>
      </w:r>
      <w:r w:rsidR="00617429">
        <w:rPr>
          <w:b/>
          <w:i/>
          <w:sz w:val="24"/>
          <w:szCs w:val="24"/>
        </w:rPr>
        <w:t>o</w:t>
      </w:r>
      <w:r w:rsidRPr="00003DAA">
        <w:rPr>
          <w:b/>
          <w:i/>
          <w:sz w:val="24"/>
          <w:szCs w:val="24"/>
        </w:rPr>
        <w:t xml:space="preserve"> acordo e </w:t>
      </w:r>
      <w:r>
        <w:rPr>
          <w:b/>
          <w:i/>
          <w:sz w:val="24"/>
          <w:szCs w:val="24"/>
        </w:rPr>
        <w:t>à</w:t>
      </w:r>
      <w:r w:rsidRPr="00003DAA">
        <w:rPr>
          <w:b/>
          <w:i/>
          <w:sz w:val="24"/>
          <w:szCs w:val="24"/>
        </w:rPr>
        <w:t xml:space="preserve"> convenção coletiva</w:t>
      </w:r>
      <w:r>
        <w:rPr>
          <w:b/>
          <w:i/>
          <w:sz w:val="24"/>
          <w:szCs w:val="24"/>
        </w:rPr>
        <w:t xml:space="preserve"> que vedaram os descontos. Prevalência. Nulidade da norma regulamentar.</w:t>
      </w:r>
    </w:p>
    <w:p w:rsidR="001C04EA" w:rsidRPr="005950E2" w:rsidRDefault="001C04EA" w:rsidP="001C04E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u w:val="single"/>
          <w:lang w:val="pt-BR" w:eastAsia="en-US"/>
        </w:rPr>
      </w:pPr>
      <w:r w:rsidRPr="00CF66F7">
        <w:rPr>
          <w:rFonts w:ascii="Times New Roman" w:hAnsi="Times New Roman"/>
          <w:lang w:val="pt-BR"/>
        </w:rPr>
        <w:t xml:space="preserve">Os termos </w:t>
      </w:r>
      <w:r w:rsidRPr="000F27ED">
        <w:rPr>
          <w:rFonts w:ascii="Times New Roman" w:eastAsia="Calibri" w:hAnsi="Times New Roman" w:cs="Times New Roman"/>
          <w:color w:val="auto"/>
          <w:lang w:val="pt-BR" w:eastAsia="en-US"/>
        </w:rPr>
        <w:t xml:space="preserve">aditivos </w:t>
      </w:r>
      <w:r w:rsidRPr="00CF66F7">
        <w:rPr>
          <w:rFonts w:ascii="Times New Roman" w:hAnsi="Times New Roman"/>
          <w:lang w:val="pt-BR"/>
        </w:rPr>
        <w:t>ao</w:t>
      </w:r>
      <w:r w:rsidRPr="000F27ED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CF66F7">
        <w:rPr>
          <w:rFonts w:ascii="Times New Roman" w:hAnsi="Times New Roman"/>
          <w:lang w:val="pt-BR"/>
        </w:rPr>
        <w:t>Acordo Coletivo de Trabalho 2008/2009 e à Convenção Coletiva de Trabalho 2008/2009</w:t>
      </w:r>
      <w:r w:rsidRPr="000F27ED">
        <w:rPr>
          <w:rFonts w:ascii="Times New Roman" w:eastAsia="Calibri" w:hAnsi="Times New Roman" w:cs="Times New Roman"/>
          <w:color w:val="auto"/>
          <w:lang w:val="pt-BR" w:eastAsia="en-US"/>
        </w:rPr>
        <w:t xml:space="preserve">, mediante os quais a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Caixa Econômica Federal – CEF</w:t>
      </w:r>
      <w:r w:rsidRPr="000F27ED">
        <w:rPr>
          <w:rFonts w:ascii="Times New Roman" w:eastAsia="Calibri" w:hAnsi="Times New Roman" w:cs="Times New Roman"/>
          <w:color w:val="auto"/>
          <w:lang w:val="pt-BR" w:eastAsia="en-US"/>
        </w:rPr>
        <w:t xml:space="preserve"> se compromete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u</w:t>
      </w:r>
      <w:r w:rsidRPr="000F27ED">
        <w:rPr>
          <w:rFonts w:ascii="Times New Roman" w:eastAsia="Calibri" w:hAnsi="Times New Roman" w:cs="Times New Roman"/>
          <w:color w:val="auto"/>
          <w:lang w:val="pt-BR" w:eastAsia="en-US"/>
        </w:rPr>
        <w:t xml:space="preserve"> a não efetuar descontos salariais em virtude de paralisação das ativ</w:t>
      </w:r>
      <w:r w:rsidRPr="00CF66F7">
        <w:rPr>
          <w:rFonts w:ascii="Times New Roman" w:hAnsi="Times New Roman"/>
          <w:lang w:val="pt-BR"/>
        </w:rPr>
        <w:t>idades laborais</w:t>
      </w:r>
      <w:r w:rsidRPr="000F27ED">
        <w:rPr>
          <w:rFonts w:ascii="Times New Roman" w:eastAsia="Calibri" w:hAnsi="Times New Roman" w:cs="Times New Roman"/>
          <w:color w:val="auto"/>
          <w:lang w:val="pt-BR" w:eastAsia="en-US"/>
        </w:rPr>
        <w:t xml:space="preserve"> por motivo de greve, inclusive em relação aos dias não compensados após o exaurimento d</w:t>
      </w:r>
      <w:r w:rsidRPr="00CF66F7">
        <w:rPr>
          <w:rFonts w:ascii="Times New Roman" w:hAnsi="Times New Roman"/>
          <w:lang w:val="pt-BR"/>
        </w:rPr>
        <w:t>o</w:t>
      </w:r>
      <w:r w:rsidRPr="000F27ED">
        <w:rPr>
          <w:rFonts w:ascii="Times New Roman" w:eastAsia="Calibri" w:hAnsi="Times New Roman" w:cs="Times New Roman"/>
          <w:color w:val="auto"/>
          <w:lang w:val="pt-BR" w:eastAsia="en-US"/>
        </w:rPr>
        <w:t xml:space="preserve"> calendário de reposição,</w:t>
      </w:r>
      <w:r w:rsidRPr="00CF66F7">
        <w:rPr>
          <w:rFonts w:ascii="Times New Roman" w:hAnsi="Times New Roman"/>
          <w:lang w:val="pt-BR"/>
        </w:rPr>
        <w:t xml:space="preserve"> devem prevalecer sobre a norma interna CI SUAPE/SURSE nº 107/2008, editada à época da celebração d</w:t>
      </w:r>
      <w:r>
        <w:rPr>
          <w:rFonts w:ascii="Times New Roman" w:hAnsi="Times New Roman"/>
          <w:lang w:val="pt-BR"/>
        </w:rPr>
        <w:t>os instrumentos coletivos originário</w:t>
      </w:r>
      <w:r w:rsidRPr="00CF66F7">
        <w:rPr>
          <w:rFonts w:ascii="Times New Roman" w:hAnsi="Times New Roman"/>
          <w:lang w:val="pt-BR"/>
        </w:rPr>
        <w:t xml:space="preserve">s, a qual, ao também </w:t>
      </w:r>
      <w:r w:rsidRPr="00FC6874">
        <w:rPr>
          <w:rFonts w:ascii="Times New Roman" w:eastAsia="Calibri" w:hAnsi="Times New Roman" w:cs="Times New Roman"/>
          <w:color w:val="auto"/>
          <w:lang w:val="pt-BR" w:eastAsia="en-US"/>
        </w:rPr>
        <w:t>disciplin</w:t>
      </w:r>
      <w:r w:rsidRPr="00CF66F7">
        <w:rPr>
          <w:rFonts w:ascii="Times New Roman" w:hAnsi="Times New Roman"/>
          <w:lang w:val="pt-BR"/>
        </w:rPr>
        <w:t xml:space="preserve">ar </w:t>
      </w:r>
      <w:r w:rsidRPr="00FC6874">
        <w:rPr>
          <w:rFonts w:ascii="Times New Roman" w:eastAsia="Calibri" w:hAnsi="Times New Roman" w:cs="Times New Roman"/>
          <w:color w:val="auto"/>
          <w:lang w:val="pt-BR" w:eastAsia="en-US"/>
        </w:rPr>
        <w:t>a compensação dos dias parados referentes ao mesmo movimento paredista,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FC6874">
        <w:rPr>
          <w:rFonts w:ascii="Times New Roman" w:eastAsia="Calibri" w:hAnsi="Times New Roman" w:cs="Times New Roman"/>
          <w:color w:val="auto"/>
          <w:lang w:val="pt-BR" w:eastAsia="en-US"/>
        </w:rPr>
        <w:t>expressamente autoriz</w:t>
      </w:r>
      <w:r w:rsidRPr="00CF66F7">
        <w:rPr>
          <w:rFonts w:ascii="Times New Roman" w:hAnsi="Times New Roman"/>
          <w:lang w:val="pt-BR"/>
        </w:rPr>
        <w:t>ou os</w:t>
      </w:r>
      <w:r w:rsidRPr="00FC6874">
        <w:rPr>
          <w:rFonts w:ascii="Times New Roman" w:eastAsia="Calibri" w:hAnsi="Times New Roman" w:cs="Times New Roman"/>
          <w:color w:val="auto"/>
          <w:lang w:val="pt-BR" w:eastAsia="en-US"/>
        </w:rPr>
        <w:t xml:space="preserve"> descontos em folha de pagamento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no caso de saldo de horas </w:t>
      </w:r>
      <w:r w:rsidRPr="00CF66F7">
        <w:rPr>
          <w:rFonts w:ascii="Times New Roman" w:hAnsi="Times New Roman"/>
          <w:lang w:val="pt-BR"/>
        </w:rPr>
        <w:t xml:space="preserve">remanescentes não compensadas até a data limite acordada. Na espécie, prevaleceu o entendimento de que a CEF, ao invocar a disposição regulamentar para efetuar o desconto dos dias parados, extrapolou seu poder diretivo, ignorando o compromisso posteriormente assumido com a categoria profissional mediante a assinatura dos </w:t>
      </w:r>
      <w:r>
        <w:rPr>
          <w:rFonts w:ascii="Times New Roman" w:hAnsi="Times New Roman"/>
          <w:lang w:val="pt-BR"/>
        </w:rPr>
        <w:t>termos aditivos</w:t>
      </w:r>
      <w:r w:rsidRPr="00CF66F7">
        <w:rPr>
          <w:rFonts w:ascii="Times New Roman" w:hAnsi="Times New Roman"/>
          <w:lang w:val="pt-BR"/>
        </w:rPr>
        <w:t xml:space="preserve">, o que constitui afronta ao disposto no art. 7º, XXVI, da CF e ao princípio da boa-fé.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Com esse entendimento, a SBDI-I, </w:t>
      </w:r>
      <w:r w:rsidRPr="00FD3E19">
        <w:rPr>
          <w:rFonts w:ascii="Times New Roman" w:eastAsia="Calibri" w:hAnsi="Times New Roman" w:cs="Times New Roman"/>
          <w:color w:val="auto"/>
          <w:lang w:val="pt-BR" w:eastAsia="en-US"/>
        </w:rPr>
        <w:t>por unanimidade, conhece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u</w:t>
      </w:r>
      <w:r w:rsidRPr="00FD3E19">
        <w:rPr>
          <w:rFonts w:ascii="Times New Roman" w:eastAsia="Calibri" w:hAnsi="Times New Roman" w:cs="Times New Roman"/>
          <w:color w:val="auto"/>
          <w:lang w:val="pt-BR" w:eastAsia="en-US"/>
        </w:rPr>
        <w:t xml:space="preserve"> dos embargos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interpostos pela r</w:t>
      </w:r>
      <w:r w:rsidRPr="00FD3E19">
        <w:rPr>
          <w:rFonts w:ascii="Times New Roman" w:eastAsia="Calibri" w:hAnsi="Times New Roman" w:cs="Times New Roman"/>
          <w:color w:val="auto"/>
          <w:lang w:val="pt-BR" w:eastAsia="en-US"/>
        </w:rPr>
        <w:t>eclamada, por divergência jurisprudencial, e, no mérito, neg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ou</w:t>
      </w:r>
      <w:r w:rsidRPr="00FD3E19">
        <w:rPr>
          <w:rFonts w:ascii="Times New Roman" w:eastAsia="Calibri" w:hAnsi="Times New Roman" w:cs="Times New Roman"/>
          <w:color w:val="auto"/>
          <w:lang w:val="pt-BR" w:eastAsia="en-US"/>
        </w:rPr>
        <w:t>-lhes provimento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mantendo, assim, a declaração de nulidade do dispositivo da norma regulamentar autorizadora dos descontos.  </w:t>
      </w:r>
      <w:hyperlink r:id="rId9" w:history="1">
        <w:r w:rsidRPr="001C04EA">
          <w:rPr>
            <w:rStyle w:val="Hyperlink"/>
            <w:rFonts w:ascii="Times New Roman" w:eastAsia="Calibri" w:hAnsi="Times New Roman"/>
            <w:lang w:val="pt-BR" w:eastAsia="en-US"/>
          </w:rPr>
          <w:t>TST-E-ED-RR-458-13.2010.5.12.0000</w:t>
        </w:r>
      </w:hyperlink>
      <w:r w:rsidRPr="005950E2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SBDI-I, rel. Min. João Oreste Dalazen, 16.10.2014</w:t>
      </w:r>
    </w:p>
    <w:p w:rsidR="00476CB3" w:rsidRDefault="00476CB3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1C04EA" w:rsidRDefault="001C04EA" w:rsidP="001C04E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Cartões de ponto sem assinatura. Validade.</w:t>
      </w:r>
    </w:p>
    <w:p w:rsidR="001C04EA" w:rsidRDefault="001C04EA" w:rsidP="001C04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assinatura do empregado não é elemento essencial para a validade formal dos cartões de ponto. O art. 74, § 2º, da CLT não traz qualquer exigência no sentido de que os controles de frequência devam contar com a assinatura do trabalhador para serem reputados válidos. Ademais, no caso concreto, os horários consignados nos espelhos de ponto sem assinatura se assemelham àqueles consignados nos documentos assinados trazidos à colação pela reclamada e que contam com a chancela do reclamante, não havendo nos autos qualquer elemento que aponte para existência de fraude a justificar a declaração de invalidade dos referidos registros de ponto. Com esse </w:t>
      </w:r>
      <w:r>
        <w:rPr>
          <w:sz w:val="24"/>
          <w:szCs w:val="24"/>
        </w:rPr>
        <w:lastRenderedPageBreak/>
        <w:t xml:space="preserve">entendimento, a SBDI-I, por maioria, conheceu dos embargos interpostos pela reclamada, no tópico, por divergência jurisprudencial, e, no mérito, deu-lhes provimento para restabelecer a decisão do Regional que, ao validar os espelhos de ponto não assinados pelo reclamante, indeferiu o pedido de pagamento de horas extras diante da ausência de prova do labor extraordinário. Vencido o Ministro Alexandre Agra Belmonte, relator. </w:t>
      </w:r>
      <w:hyperlink r:id="rId10" w:history="1">
        <w:r w:rsidRPr="001C04EA">
          <w:rPr>
            <w:rStyle w:val="Hyperlink"/>
            <w:sz w:val="24"/>
            <w:szCs w:val="24"/>
          </w:rPr>
          <w:t>TST-E-ED-RR-893-14.2011.5.05.0463</w:t>
        </w:r>
      </w:hyperlink>
      <w:r w:rsidRPr="006510D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SBDI-I, rel. Min. Alexandre Agra Belmonte, red. p/ acórdão Min. Renato de Lacerda Paiva</w:t>
      </w:r>
      <w:r w:rsidRPr="006510D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16.</w:t>
      </w:r>
      <w:r w:rsidRPr="006510DE">
        <w:rPr>
          <w:sz w:val="24"/>
          <w:szCs w:val="24"/>
          <w:u w:val="single"/>
        </w:rPr>
        <w:t>10.2014</w:t>
      </w:r>
      <w:r>
        <w:rPr>
          <w:sz w:val="24"/>
          <w:szCs w:val="24"/>
        </w:rPr>
        <w:t xml:space="preserve">  </w:t>
      </w:r>
    </w:p>
    <w:p w:rsidR="001C04EA" w:rsidRDefault="001C04EA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2108D3" w:rsidRPr="005D1DE4" w:rsidRDefault="002108D3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4F" w:rsidRDefault="00FE494F">
      <w:r>
        <w:separator/>
      </w:r>
    </w:p>
  </w:endnote>
  <w:endnote w:type="continuationSeparator" w:id="0">
    <w:p w:rsidR="00FE494F" w:rsidRDefault="00FE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27C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2027C1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4F" w:rsidRDefault="00FE494F">
      <w:r>
        <w:separator/>
      </w:r>
    </w:p>
  </w:footnote>
  <w:footnote w:type="continuationSeparator" w:id="0">
    <w:p w:rsidR="00FE494F" w:rsidRDefault="00FE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1D2AA6">
      <w:rPr>
        <w:shadow/>
        <w:sz w:val="24"/>
        <w:szCs w:val="24"/>
      </w:rPr>
      <w:t>9</w:t>
    </w:r>
    <w:r w:rsidR="001C04EA">
      <w:rPr>
        <w:shadow/>
        <w:sz w:val="24"/>
        <w:szCs w:val="24"/>
      </w:rPr>
      <w:t>2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1C04EA">
      <w:rPr>
        <w:sz w:val="20"/>
        <w:szCs w:val="20"/>
      </w:rPr>
      <w:t>14</w:t>
    </w:r>
    <w:r w:rsidR="00E16E01" w:rsidRPr="00971E07">
      <w:rPr>
        <w:sz w:val="20"/>
        <w:szCs w:val="20"/>
      </w:rPr>
      <w:t xml:space="preserve"> a</w:t>
    </w:r>
    <w:r w:rsidR="00FE00AD" w:rsidRPr="00971E07">
      <w:rPr>
        <w:sz w:val="20"/>
        <w:szCs w:val="20"/>
      </w:rPr>
      <w:t xml:space="preserve"> </w:t>
    </w:r>
    <w:r w:rsidR="001C04EA">
      <w:rPr>
        <w:sz w:val="20"/>
        <w:szCs w:val="20"/>
      </w:rPr>
      <w:t>20</w:t>
    </w:r>
    <w:r w:rsidR="00FE00AD" w:rsidRPr="00971E07">
      <w:rPr>
        <w:sz w:val="20"/>
        <w:szCs w:val="20"/>
      </w:rPr>
      <w:t xml:space="preserve"> de </w:t>
    </w:r>
    <w:r w:rsidR="001D2AA6">
      <w:rPr>
        <w:sz w:val="20"/>
        <w:szCs w:val="20"/>
      </w:rPr>
      <w:t>outubro</w:t>
    </w:r>
    <w:r w:rsidR="00FE00AD" w:rsidRPr="00971E07">
      <w:rPr>
        <w:sz w:val="20"/>
        <w:szCs w:val="20"/>
      </w:rPr>
      <w:t xml:space="preserve"> de 20</w:t>
    </w:r>
    <w:r w:rsidR="00E16E01" w:rsidRPr="00971E07">
      <w:rPr>
        <w:sz w:val="20"/>
        <w:szCs w:val="20"/>
      </w:rPr>
      <w:t>1</w:t>
    </w:r>
    <w:r w:rsidR="002108D3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1C04EA">
      <w:rPr>
        <w:b/>
        <w:sz w:val="40"/>
        <w:szCs w:val="40"/>
      </w:rPr>
      <w:t>92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1C04EA">
      <w:rPr>
        <w:i/>
        <w:iCs/>
      </w:rPr>
      <w:t>14 a 20</w:t>
    </w:r>
    <w:r w:rsidR="00DC365C">
      <w:rPr>
        <w:i/>
        <w:iCs/>
      </w:rPr>
      <w:t xml:space="preserve"> de outubro</w:t>
    </w:r>
    <w:r w:rsidR="002108D3">
      <w:rPr>
        <w:i/>
        <w:iCs/>
      </w:rPr>
      <w:t xml:space="preserve"> </w:t>
    </w:r>
    <w:r w:rsidR="00FE00AD" w:rsidRPr="005D1DE4">
      <w:rPr>
        <w:i/>
        <w:iCs/>
      </w:rPr>
      <w:t>de 201</w:t>
    </w:r>
    <w:r w:rsidR="002108D3">
      <w:rPr>
        <w:i/>
        <w:iCs/>
      </w:rPr>
      <w:t>4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04EA"/>
    <w:rsid w:val="001C271F"/>
    <w:rsid w:val="001C6C93"/>
    <w:rsid w:val="001D2AA6"/>
    <w:rsid w:val="001D4CF9"/>
    <w:rsid w:val="001D5AB0"/>
    <w:rsid w:val="001D757D"/>
    <w:rsid w:val="001E14BB"/>
    <w:rsid w:val="001E4B57"/>
    <w:rsid w:val="001E5BD1"/>
    <w:rsid w:val="001E713B"/>
    <w:rsid w:val="001F030F"/>
    <w:rsid w:val="002027C1"/>
    <w:rsid w:val="00206810"/>
    <w:rsid w:val="002108D3"/>
    <w:rsid w:val="002168DE"/>
    <w:rsid w:val="00224AC2"/>
    <w:rsid w:val="0023559D"/>
    <w:rsid w:val="002402B0"/>
    <w:rsid w:val="00242D33"/>
    <w:rsid w:val="002449F9"/>
    <w:rsid w:val="00245294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32F1"/>
    <w:rsid w:val="0037667D"/>
    <w:rsid w:val="00382624"/>
    <w:rsid w:val="003833BC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76CB3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47391"/>
    <w:rsid w:val="00553197"/>
    <w:rsid w:val="0055409E"/>
    <w:rsid w:val="00556367"/>
    <w:rsid w:val="00556B35"/>
    <w:rsid w:val="00573E13"/>
    <w:rsid w:val="005822BA"/>
    <w:rsid w:val="00584F82"/>
    <w:rsid w:val="00586E13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17429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B7A27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644E4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57C40"/>
    <w:rsid w:val="00863B86"/>
    <w:rsid w:val="00871F69"/>
    <w:rsid w:val="00874EBC"/>
    <w:rsid w:val="008842D0"/>
    <w:rsid w:val="00884AC4"/>
    <w:rsid w:val="0088579D"/>
    <w:rsid w:val="00892753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1AE4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066A4"/>
    <w:rsid w:val="00A32FBF"/>
    <w:rsid w:val="00A407EA"/>
    <w:rsid w:val="00A42A1E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4FDC"/>
    <w:rsid w:val="00B16EB9"/>
    <w:rsid w:val="00B22F24"/>
    <w:rsid w:val="00B22F53"/>
    <w:rsid w:val="00B24DBE"/>
    <w:rsid w:val="00B30A41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3F63"/>
    <w:rsid w:val="00BD6029"/>
    <w:rsid w:val="00BE0541"/>
    <w:rsid w:val="00BE1ADB"/>
    <w:rsid w:val="00C070DE"/>
    <w:rsid w:val="00C10694"/>
    <w:rsid w:val="00C26DFB"/>
    <w:rsid w:val="00C273FA"/>
    <w:rsid w:val="00C30D06"/>
    <w:rsid w:val="00C40420"/>
    <w:rsid w:val="00C42067"/>
    <w:rsid w:val="00C432D0"/>
    <w:rsid w:val="00C4398E"/>
    <w:rsid w:val="00C60B4A"/>
    <w:rsid w:val="00C65BDB"/>
    <w:rsid w:val="00C71A3B"/>
    <w:rsid w:val="00C76CFA"/>
    <w:rsid w:val="00C85DE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365C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34CD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217D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4016"/>
    <w:rsid w:val="00FC56A4"/>
    <w:rsid w:val="00FD3D06"/>
    <w:rsid w:val="00FD5662"/>
    <w:rsid w:val="00FD72B6"/>
    <w:rsid w:val="00FE00AD"/>
    <w:rsid w:val="00FE494F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styleId="HiperlinkVisitado">
    <w:name w:val="FollowedHyperlink"/>
    <w:uiPriority w:val="99"/>
    <w:semiHidden/>
    <w:unhideWhenUsed/>
    <w:rsid w:val="00586E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2109&amp;digitoTst=98&amp;anoTst=2012&amp;orgaoTst=5&amp;tribunalTst=03&amp;varaTst=00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licacao5.tst.jus.br/consultaProcessual/consultaTstNumUnica.do?consulta=Consultar&amp;conscsjt=&amp;numeroTst=893&amp;digitoTst=14&amp;anoTst=2011&amp;orgaoTst=5&amp;tribunalTst=05&amp;varaTst=0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458&amp;digitoTst=13&amp;anoTst=2010&amp;orgaoTst=5&amp;tribunalTst=12&amp;varaTst=000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6F01-B8F9-43C6-B5BE-0CD368DE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5188</CharactersWithSpaces>
  <SharedDoc>false</SharedDoc>
  <HLinks>
    <vt:vector size="18" baseType="variant">
      <vt:variant>
        <vt:i4>2818107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https://aplicacao5.tst.jus.br/consultaProcessual/consultaTstNumUnica.do?consulta=Consultar&amp;conscsjt=&amp;numeroTst=893&amp;digitoTst=14&amp;anoTst=2011&amp;orgaoTst=5&amp;tribunalTst=05&amp;varaTst=0463</vt:lpwstr>
      </vt:variant>
      <vt:variant>
        <vt:lpwstr/>
      </vt:variant>
      <vt:variant>
        <vt:i4>2752560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https://aplicacao5.tst.jus.br/consultaProcessual/consultaTstNumUnica.do?consulta=Consultar&amp;conscsjt=&amp;numeroTst=458&amp;digitoTst=13&amp;anoTst=2010&amp;orgaoTst=5&amp;tribunalTst=12&amp;varaTst=0000</vt:lpwstr>
      </vt:variant>
      <vt:variant>
        <vt:lpwstr/>
      </vt:variant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https://aplicacao5.tst.jus.br/consultaProcessual/consultaTstNumUnica.do?consulta=Consultar&amp;conscsjt=&amp;numeroTst=2109&amp;digitoTst=98&amp;anoTst=2012&amp;orgaoTst=5&amp;tribunalTst=03&amp;varaTst=0020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2014-10-14T18:17:00Z</cp:lastPrinted>
  <dcterms:created xsi:type="dcterms:W3CDTF">2018-06-27T21:47:00Z</dcterms:created>
  <dcterms:modified xsi:type="dcterms:W3CDTF">2018-06-27T21:47:00Z</dcterms:modified>
</cp:coreProperties>
</file>