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0228E6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="000228E6"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ÓRGÃO ESPECIAL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</w:p>
    <w:p w:rsidR="00DC365C" w:rsidRPr="001D2AA6" w:rsidRDefault="00DC365C" w:rsidP="00DC365C">
      <w:pPr>
        <w:ind w:right="-1"/>
        <w:jc w:val="both"/>
        <w:rPr>
          <w:b/>
          <w:i/>
          <w:sz w:val="24"/>
          <w:szCs w:val="24"/>
        </w:rPr>
      </w:pPr>
    </w:p>
    <w:p w:rsidR="00DC365C" w:rsidRDefault="00DC365C" w:rsidP="00DC365C">
      <w:pPr>
        <w:ind w:right="-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Mandado de segurança. Pedido administrativo de aposentadoria especial. Laudo técnico e decisão administrativa. Demora injustificada. Observância do prazo legal de trinta dias previsto no art. 49 da Lei nº 9.784/99. Direito líquido e certo do requerente. </w:t>
      </w:r>
    </w:p>
    <w:p w:rsidR="00DC365C" w:rsidRPr="00DC365C" w:rsidRDefault="00DC365C" w:rsidP="00DC365C">
      <w:pPr>
        <w:pStyle w:val="Corpo"/>
        <w:spacing w:line="240" w:lineRule="auto"/>
        <w:ind w:firstLine="0"/>
        <w:rPr>
          <w:rFonts w:ascii="Times New Roman" w:hAnsi="Times New Roman"/>
          <w:b/>
          <w:i/>
          <w:lang w:val="pt-BR"/>
        </w:rPr>
      </w:pPr>
      <w:r w:rsidRPr="00C91FE8">
        <w:rPr>
          <w:rFonts w:ascii="Times New Roman" w:eastAsia="Calibri" w:hAnsi="Times New Roman" w:cs="Times New Roman"/>
          <w:color w:val="auto"/>
          <w:lang w:val="pt-BR" w:eastAsia="en-US"/>
        </w:rPr>
        <w:t>A apreciação de requerimento de aposentadoria especial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 w:rsidRPr="00C91FE8">
        <w:rPr>
          <w:rFonts w:ascii="Times New Roman" w:eastAsia="Calibri" w:hAnsi="Times New Roman" w:cs="Times New Roman"/>
          <w:color w:val="auto"/>
          <w:lang w:val="pt-BR" w:eastAsia="en-US"/>
        </w:rPr>
        <w:t xml:space="preserve"> formulado com base em decisão do 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TF</w:t>
      </w:r>
      <w:r w:rsidRPr="00C91FE8">
        <w:rPr>
          <w:rFonts w:ascii="Times New Roman" w:eastAsia="Calibri" w:hAnsi="Times New Roman" w:cs="Times New Roman"/>
          <w:color w:val="auto"/>
          <w:lang w:val="pt-BR" w:eastAsia="en-US"/>
        </w:rPr>
        <w:t xml:space="preserve"> no MI 1309, na qual foi reconhecida a mora legislativa em dar concretude ao art. 40, § 4º</w:t>
      </w:r>
      <w:r w:rsidRPr="00C91FE8">
        <w:rPr>
          <w:rFonts w:ascii="Times New Roman" w:hAnsi="Times New Roman" w:cs="Times New Roman"/>
          <w:lang w:val="pt-BR"/>
        </w:rPr>
        <w:t>, da C</w:t>
      </w:r>
      <w:r>
        <w:rPr>
          <w:rFonts w:ascii="Times New Roman" w:hAnsi="Times New Roman" w:cs="Times New Roman"/>
          <w:lang w:val="pt-BR"/>
        </w:rPr>
        <w:t xml:space="preserve">F, </w:t>
      </w:r>
      <w:r w:rsidRPr="00C91FE8">
        <w:rPr>
          <w:rFonts w:ascii="Times New Roman" w:hAnsi="Times New Roman" w:cs="Times New Roman"/>
          <w:lang w:val="pt-BR"/>
        </w:rPr>
        <w:t>e conced</w:t>
      </w:r>
      <w:r>
        <w:rPr>
          <w:rFonts w:ascii="Times New Roman" w:hAnsi="Times New Roman" w:cs="Times New Roman"/>
          <w:lang w:val="pt-BR"/>
        </w:rPr>
        <w:t>ida</w:t>
      </w:r>
      <w:r w:rsidRPr="00C91FE8">
        <w:rPr>
          <w:rFonts w:ascii="Times New Roman" w:hAnsi="Times New Roman" w:cs="Times New Roman"/>
          <w:lang w:val="pt-BR"/>
        </w:rPr>
        <w:t xml:space="preserve"> a ordem para que </w:t>
      </w:r>
      <w:r>
        <w:rPr>
          <w:rFonts w:ascii="Times New Roman" w:hAnsi="Times New Roman" w:cs="Times New Roman"/>
          <w:lang w:val="pt-BR"/>
        </w:rPr>
        <w:t>seja analisada</w:t>
      </w:r>
      <w:r w:rsidRPr="00C91FE8">
        <w:rPr>
          <w:rFonts w:ascii="Times New Roman" w:hAnsi="Times New Roman" w:cs="Times New Roman"/>
          <w:lang w:val="pt-BR"/>
        </w:rPr>
        <w:t xml:space="preserve"> a situação fática de oficiais de justiça avaliadores </w:t>
      </w:r>
      <w:r>
        <w:rPr>
          <w:rFonts w:ascii="Times New Roman" w:hAnsi="Times New Roman" w:cs="Times New Roman"/>
          <w:lang w:val="pt-BR"/>
        </w:rPr>
        <w:t>à luz do art. 57 da Lei 8.213/91,</w:t>
      </w:r>
      <w:r w:rsidRPr="00C91FE8">
        <w:rPr>
          <w:rFonts w:ascii="Times New Roman" w:hAnsi="Times New Roman"/>
          <w:lang w:val="pt-BR"/>
        </w:rPr>
        <w:t xml:space="preserve"> deve ser efetuada no prazo de trinta dias, conforme previsto no art. 49 da Lei nº 9.784/99, aplicável </w:t>
      </w:r>
      <w:r>
        <w:rPr>
          <w:rFonts w:ascii="Times New Roman" w:hAnsi="Times New Roman"/>
          <w:lang w:val="pt-BR"/>
        </w:rPr>
        <w:t>subsidiariamente</w:t>
      </w:r>
      <w:r w:rsidRPr="00C91FE8">
        <w:rPr>
          <w:rFonts w:ascii="Times New Roman" w:hAnsi="Times New Roman"/>
          <w:lang w:val="pt-BR"/>
        </w:rPr>
        <w:t xml:space="preserve">. </w:t>
      </w:r>
      <w:r w:rsidRPr="000B365A">
        <w:rPr>
          <w:rFonts w:ascii="Times New Roman" w:hAnsi="Times New Roman"/>
          <w:lang w:val="pt-BR"/>
        </w:rPr>
        <w:t>A demora injustificada da autoridade competente em providenciar laudo</w:t>
      </w:r>
      <w:r>
        <w:rPr>
          <w:rFonts w:ascii="Times New Roman" w:hAnsi="Times New Roman"/>
          <w:lang w:val="pt-BR"/>
        </w:rPr>
        <w:t>s específicos e aptos a averiguar a submissão do impetrante a condições que prejudiquem a saúde ou a integridade física</w:t>
      </w:r>
      <w:r w:rsidRPr="000B365A">
        <w:rPr>
          <w:rFonts w:ascii="Times New Roman" w:hAnsi="Times New Roman"/>
          <w:lang w:val="pt-BR"/>
        </w:rPr>
        <w:t xml:space="preserve"> viola direito líquido e certo do requerente, além de afrontar os princípios da razoável duração do processo (art. 5º, LXXVIII, da CF), bem como da eficiência e moralidade administrativa (art. 37, </w:t>
      </w:r>
      <w:r w:rsidRPr="000B365A">
        <w:rPr>
          <w:rFonts w:ascii="Times New Roman" w:hAnsi="Times New Roman"/>
          <w:i/>
          <w:lang w:val="pt-BR"/>
        </w:rPr>
        <w:t>caput</w:t>
      </w:r>
      <w:r w:rsidRPr="000B365A">
        <w:rPr>
          <w:rFonts w:ascii="Times New Roman" w:hAnsi="Times New Roman"/>
          <w:lang w:val="pt-BR"/>
        </w:rPr>
        <w:t xml:space="preserve">, da CF e art. 2º da Lei nº 9.784/99). </w:t>
      </w:r>
      <w:r w:rsidRPr="00C06E13">
        <w:rPr>
          <w:rFonts w:ascii="Times New Roman" w:hAnsi="Times New Roman"/>
          <w:lang w:val="pt-BR"/>
        </w:rPr>
        <w:t xml:space="preserve">Com base nesses fundamentos, o Órgão Especial, por unanimidade, deu provimento ao recurso ordinário do impetrante para conceder a segurança, determinando que a autoridade coatora providencie a análise técnica e julgue o pedido de concessão de aposentadoria especial no prazo de trinta dias, prorrogáveis pelo mesmo período com expressa motivação. </w:t>
      </w:r>
      <w:hyperlink r:id="rId8" w:history="1">
        <w:r w:rsidRPr="00DC365C">
          <w:rPr>
            <w:rStyle w:val="Hyperlink"/>
            <w:rFonts w:ascii="Times New Roman" w:hAnsi="Times New Roman" w:cs="Courier New"/>
            <w:lang w:val="pt-BR"/>
          </w:rPr>
          <w:t>TST-RO-242-26.2013.5.02.0000</w:t>
        </w:r>
      </w:hyperlink>
      <w:r w:rsidRPr="00DC365C">
        <w:rPr>
          <w:rFonts w:ascii="Times New Roman" w:hAnsi="Times New Roman"/>
          <w:u w:val="single"/>
          <w:lang w:val="pt-BR"/>
        </w:rPr>
        <w:t>, Órgão Especial, rel. Min. Augusto César Leite de Carvalho, 6.10.2014</w:t>
      </w:r>
    </w:p>
    <w:p w:rsidR="00DC365C" w:rsidRDefault="00DC365C" w:rsidP="002108D3">
      <w:pPr>
        <w:pStyle w:val="Corpo"/>
        <w:spacing w:line="240" w:lineRule="auto"/>
        <w:ind w:firstLine="0"/>
        <w:rPr>
          <w:rFonts w:ascii="Times New Roman" w:hAnsi="Times New Roman" w:cs="Times New Roman"/>
          <w:lang w:val="pt-BR"/>
        </w:rPr>
      </w:pPr>
    </w:p>
    <w:p w:rsidR="00DC365C" w:rsidRDefault="00DC365C" w:rsidP="00DC365C">
      <w:pPr>
        <w:jc w:val="both"/>
        <w:rPr>
          <w:b/>
          <w:i/>
          <w:sz w:val="24"/>
          <w:szCs w:val="24"/>
        </w:rPr>
      </w:pPr>
      <w:r w:rsidRPr="003A096E">
        <w:rPr>
          <w:b/>
          <w:i/>
          <w:sz w:val="24"/>
          <w:szCs w:val="24"/>
        </w:rPr>
        <w:t xml:space="preserve">Mandado de segurança. Concurso público. Nomeação. </w:t>
      </w:r>
      <w:r>
        <w:rPr>
          <w:b/>
          <w:i/>
          <w:sz w:val="24"/>
          <w:szCs w:val="24"/>
        </w:rPr>
        <w:t>T</w:t>
      </w:r>
      <w:r w:rsidRPr="00BF59B5">
        <w:rPr>
          <w:b/>
          <w:i/>
          <w:sz w:val="24"/>
          <w:szCs w:val="24"/>
        </w:rPr>
        <w:t>ranscurs</w:t>
      </w:r>
      <w:r>
        <w:rPr>
          <w:b/>
          <w:i/>
          <w:sz w:val="24"/>
          <w:szCs w:val="24"/>
        </w:rPr>
        <w:t>o do prazo legal para a posse. Responsabilidade do candidato pel</w:t>
      </w:r>
      <w:r w:rsidRPr="00BF59B5">
        <w:rPr>
          <w:b/>
          <w:i/>
          <w:sz w:val="24"/>
          <w:szCs w:val="24"/>
        </w:rPr>
        <w:t>o acompanhamento das comunica</w:t>
      </w:r>
      <w:r>
        <w:rPr>
          <w:b/>
          <w:i/>
          <w:sz w:val="24"/>
          <w:szCs w:val="24"/>
        </w:rPr>
        <w:t>ções relacionadas ao concurso. Direito líquido e certo à notificação por via postal. Ausência.</w:t>
      </w:r>
    </w:p>
    <w:p w:rsidR="00DC365C" w:rsidRPr="003A096E" w:rsidRDefault="00DC365C" w:rsidP="00DC365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candidata aprovada em concurso público não tem direito líquido e certo </w:t>
      </w:r>
      <w:r w:rsidRPr="008E4A52">
        <w:rPr>
          <w:sz w:val="24"/>
          <w:szCs w:val="24"/>
        </w:rPr>
        <w:t xml:space="preserve">à notificação </w:t>
      </w:r>
      <w:r>
        <w:rPr>
          <w:sz w:val="24"/>
          <w:szCs w:val="24"/>
        </w:rPr>
        <w:t xml:space="preserve">por </w:t>
      </w:r>
      <w:r w:rsidRPr="008E4A52">
        <w:rPr>
          <w:sz w:val="24"/>
          <w:szCs w:val="24"/>
        </w:rPr>
        <w:t>via postal ou outro meio que assegur</w:t>
      </w:r>
      <w:r>
        <w:rPr>
          <w:sz w:val="24"/>
          <w:szCs w:val="24"/>
        </w:rPr>
        <w:t>e a</w:t>
      </w:r>
      <w:r w:rsidRPr="008E4A52">
        <w:rPr>
          <w:sz w:val="24"/>
          <w:szCs w:val="24"/>
        </w:rPr>
        <w:t xml:space="preserve"> certeza da ciência do ato</w:t>
      </w:r>
      <w:r>
        <w:rPr>
          <w:sz w:val="24"/>
          <w:szCs w:val="24"/>
        </w:rPr>
        <w:t>, quando não houver previsão expressa no edital. Na hipótese vertente, p</w:t>
      </w:r>
      <w:r w:rsidRPr="00F519EC">
        <w:rPr>
          <w:sz w:val="24"/>
          <w:szCs w:val="24"/>
        </w:rPr>
        <w:t xml:space="preserve">assados três anos e meio da homologação do concurso, foi publicada </w:t>
      </w:r>
      <w:r>
        <w:rPr>
          <w:sz w:val="24"/>
          <w:szCs w:val="24"/>
        </w:rPr>
        <w:t>a</w:t>
      </w:r>
      <w:r w:rsidRPr="00F519EC">
        <w:rPr>
          <w:sz w:val="24"/>
          <w:szCs w:val="24"/>
        </w:rPr>
        <w:t xml:space="preserve"> nomeação</w:t>
      </w:r>
      <w:r>
        <w:rPr>
          <w:sz w:val="24"/>
          <w:szCs w:val="24"/>
        </w:rPr>
        <w:t xml:space="preserve"> da impetrante</w:t>
      </w:r>
      <w:r w:rsidRPr="00F519EC">
        <w:rPr>
          <w:sz w:val="24"/>
          <w:szCs w:val="24"/>
        </w:rPr>
        <w:t xml:space="preserve"> e, ante o </w:t>
      </w:r>
      <w:r>
        <w:rPr>
          <w:sz w:val="24"/>
          <w:szCs w:val="24"/>
        </w:rPr>
        <w:t xml:space="preserve">seu </w:t>
      </w:r>
      <w:r w:rsidRPr="00F519EC">
        <w:rPr>
          <w:sz w:val="24"/>
          <w:szCs w:val="24"/>
        </w:rPr>
        <w:t xml:space="preserve">não comparecimento, o ato </w:t>
      </w:r>
      <w:r>
        <w:rPr>
          <w:sz w:val="24"/>
          <w:szCs w:val="24"/>
        </w:rPr>
        <w:t>foi tornado sem efeito. C</w:t>
      </w:r>
      <w:r w:rsidRPr="00F519EC">
        <w:rPr>
          <w:sz w:val="24"/>
          <w:szCs w:val="24"/>
        </w:rPr>
        <w:t>onstatou-se que, além das publicações</w:t>
      </w:r>
      <w:r>
        <w:rPr>
          <w:sz w:val="24"/>
          <w:szCs w:val="24"/>
        </w:rPr>
        <w:t xml:space="preserve"> da nomeação </w:t>
      </w:r>
      <w:r w:rsidRPr="00F519EC">
        <w:rPr>
          <w:sz w:val="24"/>
          <w:szCs w:val="24"/>
        </w:rPr>
        <w:t xml:space="preserve">em Diário Oficial e pela </w:t>
      </w:r>
      <w:r>
        <w:rPr>
          <w:sz w:val="24"/>
          <w:szCs w:val="24"/>
        </w:rPr>
        <w:t>i</w:t>
      </w:r>
      <w:r w:rsidRPr="00F519EC">
        <w:rPr>
          <w:sz w:val="24"/>
          <w:szCs w:val="24"/>
        </w:rPr>
        <w:t>nternet, foi enviada mensagem eletrônica para o</w:t>
      </w:r>
      <w:r>
        <w:rPr>
          <w:sz w:val="24"/>
          <w:szCs w:val="24"/>
        </w:rPr>
        <w:t xml:space="preserve"> </w:t>
      </w:r>
      <w:r w:rsidRPr="00F519EC">
        <w:rPr>
          <w:sz w:val="24"/>
          <w:szCs w:val="24"/>
        </w:rPr>
        <w:t>e-mail</w:t>
      </w:r>
      <w:r>
        <w:rPr>
          <w:sz w:val="24"/>
          <w:szCs w:val="24"/>
        </w:rPr>
        <w:t xml:space="preserve"> da candidata</w:t>
      </w:r>
      <w:r w:rsidRPr="00F519EC">
        <w:rPr>
          <w:sz w:val="24"/>
          <w:szCs w:val="24"/>
        </w:rPr>
        <w:t xml:space="preserve">, </w:t>
      </w:r>
      <w:r>
        <w:rPr>
          <w:sz w:val="24"/>
          <w:szCs w:val="24"/>
        </w:rPr>
        <w:t>sendo certo que, para se alcançar conclusão diversa acerca da efetiva notificação,</w:t>
      </w:r>
      <w:r w:rsidRPr="00F519EC">
        <w:rPr>
          <w:sz w:val="24"/>
          <w:szCs w:val="24"/>
        </w:rPr>
        <w:t xml:space="preserve"> seria necessária ampla dilação probatór</w:t>
      </w:r>
      <w:r>
        <w:rPr>
          <w:sz w:val="24"/>
          <w:szCs w:val="24"/>
        </w:rPr>
        <w:t>ia, o que não se coaduna com o m</w:t>
      </w:r>
      <w:r w:rsidRPr="00F519EC">
        <w:rPr>
          <w:sz w:val="24"/>
          <w:szCs w:val="24"/>
        </w:rPr>
        <w:t xml:space="preserve">andado de </w:t>
      </w:r>
      <w:r>
        <w:rPr>
          <w:sz w:val="24"/>
          <w:szCs w:val="24"/>
        </w:rPr>
        <w:t>s</w:t>
      </w:r>
      <w:r w:rsidRPr="00F519EC">
        <w:rPr>
          <w:sz w:val="24"/>
          <w:szCs w:val="24"/>
        </w:rPr>
        <w:t>egurança, em face dos estritos limites de cognição dessa ação</w:t>
      </w:r>
      <w:r w:rsidRPr="003A096E">
        <w:rPr>
          <w:sz w:val="24"/>
          <w:szCs w:val="24"/>
        </w:rPr>
        <w:t>.</w:t>
      </w:r>
      <w:r>
        <w:rPr>
          <w:sz w:val="24"/>
          <w:szCs w:val="24"/>
        </w:rPr>
        <w:t xml:space="preserve"> Ressalte-se, ademais, que o edital estabeleceu a</w:t>
      </w:r>
      <w:r w:rsidRPr="00A85735">
        <w:rPr>
          <w:sz w:val="24"/>
          <w:szCs w:val="24"/>
        </w:rPr>
        <w:t xml:space="preserve"> responsabilidade</w:t>
      </w:r>
      <w:r>
        <w:rPr>
          <w:sz w:val="24"/>
          <w:szCs w:val="24"/>
        </w:rPr>
        <w:t xml:space="preserve"> da candidata em manter atualizados os seus dados pessoais, bem como de </w:t>
      </w:r>
      <w:r w:rsidRPr="00A85735">
        <w:rPr>
          <w:sz w:val="24"/>
          <w:szCs w:val="24"/>
        </w:rPr>
        <w:t>acompanhar as publicações, editais, avisos e comunicados</w:t>
      </w:r>
      <w:r>
        <w:rPr>
          <w:sz w:val="24"/>
          <w:szCs w:val="24"/>
        </w:rPr>
        <w:t xml:space="preserve"> referentes ao concurso.  </w:t>
      </w:r>
      <w:r w:rsidRPr="00382624">
        <w:rPr>
          <w:sz w:val="24"/>
          <w:szCs w:val="24"/>
        </w:rPr>
        <w:t>Com esses fundamentos, o Órgão Especial, por maioria, conheceu e negou provimento ao recurso ordinário interposto pela impetrante, mantendo incólume a decisão do Regional que negara a segurança pretendida. Vencida a Ministra Delaíde Miranda Arantes. Ressalvaram a fundamentação os Ministros João Oreste Dalazen, Ives Gandra Martins Filho e Walmir Oliveira da Costa.</w:t>
      </w:r>
      <w:r>
        <w:rPr>
          <w:sz w:val="24"/>
          <w:szCs w:val="24"/>
        </w:rPr>
        <w:t xml:space="preserve"> </w:t>
      </w:r>
      <w:hyperlink r:id="rId9" w:history="1">
        <w:r w:rsidRPr="00DC365C">
          <w:rPr>
            <w:rStyle w:val="Hyperlink"/>
            <w:sz w:val="24"/>
            <w:szCs w:val="24"/>
          </w:rPr>
          <w:t>TST-RO-51060-16.2012.5.02.0000</w:t>
        </w:r>
      </w:hyperlink>
      <w:r w:rsidRPr="003A096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Órgão Especial</w:t>
      </w:r>
      <w:r w:rsidRPr="003A096E">
        <w:rPr>
          <w:sz w:val="24"/>
          <w:szCs w:val="24"/>
          <w:u w:val="single"/>
        </w:rPr>
        <w:t xml:space="preserve">, rel. Min. </w:t>
      </w:r>
      <w:r>
        <w:rPr>
          <w:sz w:val="24"/>
          <w:szCs w:val="24"/>
          <w:u w:val="single"/>
        </w:rPr>
        <w:t>Mauricio Godinho Delgado, 6.10.2014</w:t>
      </w:r>
      <w:r w:rsidRPr="00AC56B8">
        <w:rPr>
          <w:szCs w:val="24"/>
        </w:rPr>
        <w:t xml:space="preserve">. </w:t>
      </w:r>
      <w:r w:rsidR="00EC34CD">
        <w:rPr>
          <w:szCs w:val="24"/>
        </w:rPr>
        <w:t>(</w:t>
      </w:r>
      <w:r w:rsidRPr="00382624">
        <w:rPr>
          <w:szCs w:val="24"/>
        </w:rPr>
        <w:t xml:space="preserve">*Cf. Informativo TST nº 88, </w:t>
      </w:r>
      <w:r w:rsidR="00EC54DE">
        <w:rPr>
          <w:szCs w:val="24"/>
        </w:rPr>
        <w:t xml:space="preserve">precedente da SBDI-II </w:t>
      </w:r>
      <w:r w:rsidRPr="00382624">
        <w:rPr>
          <w:szCs w:val="24"/>
        </w:rPr>
        <w:t>em sentido contrário.</w:t>
      </w:r>
      <w:r w:rsidR="00EC34CD">
        <w:rPr>
          <w:szCs w:val="24"/>
        </w:rPr>
        <w:t>)</w:t>
      </w:r>
    </w:p>
    <w:p w:rsidR="00DC365C" w:rsidRDefault="00DC365C" w:rsidP="002108D3">
      <w:pPr>
        <w:pStyle w:val="Corpo"/>
        <w:spacing w:line="240" w:lineRule="auto"/>
        <w:ind w:firstLine="0"/>
        <w:rPr>
          <w:rFonts w:ascii="Times New Roman" w:hAnsi="Times New Roman" w:cs="Times New Roman"/>
          <w:lang w:val="pt-BR"/>
        </w:rPr>
      </w:pPr>
    </w:p>
    <w:p w:rsidR="001D2AA6" w:rsidRDefault="001D2AA6" w:rsidP="002108D3">
      <w:pPr>
        <w:pStyle w:val="Corpo"/>
        <w:spacing w:line="240" w:lineRule="auto"/>
        <w:ind w:firstLine="0"/>
        <w:rPr>
          <w:rFonts w:ascii="Times New Roman" w:hAnsi="Times New Roman" w:cs="Times New Roman"/>
          <w:lang w:val="pt-BR"/>
        </w:rPr>
      </w:pPr>
    </w:p>
    <w:p w:rsidR="001D2AA6" w:rsidRDefault="001D2AA6" w:rsidP="002108D3">
      <w:pPr>
        <w:pStyle w:val="Corpo"/>
        <w:spacing w:line="240" w:lineRule="auto"/>
        <w:ind w:firstLine="0"/>
        <w:rPr>
          <w:rFonts w:ascii="Times New Roman" w:hAnsi="Times New Roman" w:cs="Times New Roman"/>
          <w:lang w:val="pt-BR"/>
        </w:rPr>
      </w:pPr>
    </w:p>
    <w:p w:rsidR="00476CB3" w:rsidRPr="00971E07" w:rsidRDefault="00476CB3" w:rsidP="00476CB3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lastRenderedPageBreak/>
        <w:tab/>
        <w:t>SECÃO ESPECIALIZADA EM DISSÍDIOS COLETIVOS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</w:p>
    <w:p w:rsidR="00C10694" w:rsidRDefault="00C10694" w:rsidP="002108D3">
      <w:pPr>
        <w:pStyle w:val="Corpo"/>
        <w:spacing w:line="240" w:lineRule="auto"/>
        <w:ind w:firstLine="0"/>
        <w:rPr>
          <w:rFonts w:ascii="Times New Roman" w:hAnsi="Times New Roman" w:cs="Times New Roman"/>
          <w:lang w:val="pt-BR"/>
        </w:rPr>
      </w:pPr>
    </w:p>
    <w:p w:rsidR="00476CB3" w:rsidRPr="00D5300C" w:rsidRDefault="00476CB3" w:rsidP="00476CB3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</w:pPr>
      <w:r w:rsidRPr="00D5300C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Dissídio coletivo. CPTM. Adicional de risco. Bilheteiros, agentes operacional I e II, encarregados de estação e chefes geral de estação. Concessão mediante sentença normativa. Impossibilidade. </w:t>
      </w:r>
    </w:p>
    <w:p w:rsidR="00476CB3" w:rsidRPr="00D5300C" w:rsidRDefault="00476CB3" w:rsidP="00476CB3">
      <w:pPr>
        <w:pStyle w:val="Corpo"/>
        <w:spacing w:line="240" w:lineRule="auto"/>
        <w:ind w:firstLine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A SDC, por unanimidade, conheceu do recurso ordinário e, no mérito, por maioria, deu-lhe provimento para indeferir a Cláusula 74 – Adicional de risco, por meio da qual se estabeleceu que a Companhia Paulista de Trens Metropolitanos - CPTM pagará o referido adicional aos bilheteiros, agentes operacional I e II, encarregados de estação e chefes geral de estação. Na espécie, prevaleceu o entendimento de que é indevida a concessão do adicional de risco mediante sentença normativa, pois tal direito depende de disposição em lei ou da vontade das partes. Ademais, o disposto no art. 193, II, da CLT, introduzido pela Lei nº 12.740/2012, se dirige a atividades específicas (profissionais de segurança pessoal ou patrimonial), não podendo ter seu conteúdo aproveitado ou ampliado para alcançar os empregados a que se dirige a cláusula em tela. Finalmente, a questão da violência urbana não justifica o deferimento da reinvindicação, uma vez que mais relacionada à segurança pública que às atribuições dos destinatários da norma. </w:t>
      </w:r>
      <w:hyperlink r:id="rId10" w:history="1">
        <w:r w:rsidRPr="00382624">
          <w:rPr>
            <w:rStyle w:val="Hyperlink"/>
            <w:rFonts w:ascii="Times New Roman" w:hAnsi="Times New Roman" w:cs="Courier New"/>
            <w:lang w:val="pt-BR"/>
          </w:rPr>
          <w:t>TST-RO-2925-70.2012.5.02.0000</w:t>
        </w:r>
      </w:hyperlink>
      <w:r>
        <w:rPr>
          <w:rFonts w:ascii="Times New Roman" w:hAnsi="Times New Roman"/>
          <w:u w:val="single"/>
          <w:lang w:val="pt-BR"/>
        </w:rPr>
        <w:t xml:space="preserve">, SDC, </w:t>
      </w:r>
      <w:r w:rsidRPr="00DE0C5B">
        <w:rPr>
          <w:rFonts w:ascii="Times New Roman" w:hAnsi="Times New Roman"/>
          <w:u w:val="single"/>
          <w:lang w:val="pt-BR"/>
        </w:rPr>
        <w:t xml:space="preserve">rel. Min. </w:t>
      </w:r>
      <w:r>
        <w:rPr>
          <w:rFonts w:ascii="Times New Roman" w:hAnsi="Times New Roman"/>
          <w:u w:val="single"/>
          <w:lang w:val="pt-BR"/>
        </w:rPr>
        <w:t>Maria de Assis Calsing, 13</w:t>
      </w:r>
      <w:r w:rsidRPr="00DE0C5B">
        <w:rPr>
          <w:rFonts w:ascii="Times New Roman" w:hAnsi="Times New Roman"/>
          <w:u w:val="single"/>
          <w:lang w:val="pt-BR"/>
        </w:rPr>
        <w:t>.10.2014</w:t>
      </w:r>
    </w:p>
    <w:p w:rsidR="002108D3" w:rsidRPr="001D2AA6" w:rsidRDefault="002108D3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shadow/>
          <w:color w:val="auto"/>
          <w:lang w:val="pt-BR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C10694" w:rsidRDefault="00C10694" w:rsidP="00DC365C">
      <w:pPr>
        <w:jc w:val="both"/>
        <w:rPr>
          <w:b/>
          <w:i/>
          <w:sz w:val="24"/>
          <w:szCs w:val="24"/>
        </w:rPr>
      </w:pPr>
    </w:p>
    <w:p w:rsidR="00DC365C" w:rsidRDefault="00DC365C" w:rsidP="00DC365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Doença o</w:t>
      </w:r>
      <w:r w:rsidRPr="00646046">
        <w:rPr>
          <w:b/>
          <w:i/>
          <w:sz w:val="24"/>
          <w:szCs w:val="24"/>
        </w:rPr>
        <w:t>cupacional.</w:t>
      </w:r>
      <w:r>
        <w:rPr>
          <w:b/>
          <w:i/>
          <w:sz w:val="24"/>
          <w:szCs w:val="24"/>
        </w:rPr>
        <w:t xml:space="preserve"> Laudo pericial emitido há mais de vinte anos da extinção do contrato de trabalho. Prescrição. Marco inicial. Não adoção do momento da ciência da lesão.  </w:t>
      </w:r>
    </w:p>
    <w:p w:rsidR="00DC365C" w:rsidRDefault="00DC365C" w:rsidP="00DC365C">
      <w:pPr>
        <w:jc w:val="both"/>
        <w:rPr>
          <w:sz w:val="24"/>
          <w:szCs w:val="24"/>
          <w:u w:val="single"/>
        </w:rPr>
      </w:pPr>
      <w:r w:rsidRPr="00CC0F92">
        <w:rPr>
          <w:sz w:val="24"/>
          <w:szCs w:val="24"/>
        </w:rPr>
        <w:t>Regra geral,</w:t>
      </w:r>
      <w:r>
        <w:rPr>
          <w:sz w:val="24"/>
          <w:szCs w:val="24"/>
        </w:rPr>
        <w:t xml:space="preserve"> </w:t>
      </w:r>
      <w:r w:rsidRPr="00CC0F92">
        <w:rPr>
          <w:sz w:val="24"/>
          <w:szCs w:val="24"/>
        </w:rPr>
        <w:t xml:space="preserve">considera-se como marco inicial da prescrição o momento do conhecimento da lesão. Todavia, </w:t>
      </w:r>
      <w:r>
        <w:rPr>
          <w:sz w:val="24"/>
          <w:szCs w:val="24"/>
        </w:rPr>
        <w:t xml:space="preserve">na hipótese em que o laudo pericial que constatou a incapacidade auditiva decorrente da longa exposição do empregado a ruídos sem a utilização de equipamentos de proteção foi emitido mais de vinte anos após a rescisão do contrato de trabalho, não se mostra razoável reconhecer que a ciência da lesão só se deu no momento da perícia, ainda mais quando as provas dos autos evidenciam conduta que visa burlar o instituto da prescrição, mediante o ajuizamento em massa de reclamações trabalhistas por ex-empregados da mesma empresa, todas lastreadas em laudos periciais elaborados muitos anos após a extinção do vínculo de emprego. Com esses fundamentos, a SBDI-I, por unanimidade, conheceu dos embargos interpostos pela reclamada, por divergência jurisprudencial, e, no mérito, deu-lhes provimento para declarar a prescrição total, julgando improcedente a reclamação trabalhista. </w:t>
      </w:r>
      <w:hyperlink r:id="rId11" w:history="1">
        <w:r w:rsidRPr="00DC365C">
          <w:rPr>
            <w:rStyle w:val="Hyperlink"/>
            <w:sz w:val="24"/>
            <w:szCs w:val="24"/>
          </w:rPr>
          <w:t>TST-E-RR-56600-22.2008.5.04.0811</w:t>
        </w:r>
      </w:hyperlink>
      <w:r w:rsidRPr="00CC0F92">
        <w:rPr>
          <w:sz w:val="24"/>
          <w:szCs w:val="24"/>
          <w:u w:val="single"/>
        </w:rPr>
        <w:t xml:space="preserve">, SBDI-I, rel. </w:t>
      </w:r>
      <w:r>
        <w:rPr>
          <w:sz w:val="24"/>
          <w:szCs w:val="24"/>
          <w:u w:val="single"/>
        </w:rPr>
        <w:t xml:space="preserve">Min. </w:t>
      </w:r>
      <w:r w:rsidRPr="00CC0F92">
        <w:rPr>
          <w:sz w:val="24"/>
          <w:szCs w:val="24"/>
          <w:u w:val="single"/>
        </w:rPr>
        <w:t>Aloysio Corrêa da Veiga, 2.</w:t>
      </w:r>
      <w:r>
        <w:rPr>
          <w:sz w:val="24"/>
          <w:szCs w:val="24"/>
          <w:u w:val="single"/>
        </w:rPr>
        <w:t>10</w:t>
      </w:r>
      <w:r w:rsidRPr="00CC0F92">
        <w:rPr>
          <w:sz w:val="24"/>
          <w:szCs w:val="24"/>
          <w:u w:val="single"/>
        </w:rPr>
        <w:t>.2014</w:t>
      </w:r>
    </w:p>
    <w:p w:rsidR="002108D3" w:rsidRDefault="002108D3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DC365C" w:rsidRPr="00DC365C" w:rsidRDefault="00DC365C" w:rsidP="00DC365C">
      <w:pPr>
        <w:jc w:val="both"/>
        <w:rPr>
          <w:b/>
          <w:i/>
          <w:sz w:val="24"/>
          <w:szCs w:val="24"/>
        </w:rPr>
      </w:pPr>
      <w:r w:rsidRPr="00DC365C">
        <w:rPr>
          <w:b/>
          <w:i/>
          <w:sz w:val="24"/>
          <w:szCs w:val="24"/>
        </w:rPr>
        <w:t>Administração Pública. Contratação pelo regime trabalhista. Cargo em comissão de livre nomeação e exoneração. Art. 37, II, da CF. Depósitos do FGTS. Devidos.</w:t>
      </w:r>
    </w:p>
    <w:p w:rsidR="00DC365C" w:rsidRPr="00DC365C" w:rsidRDefault="00DC365C" w:rsidP="00DC365C">
      <w:pPr>
        <w:ind w:right="-1"/>
        <w:jc w:val="both"/>
        <w:rPr>
          <w:sz w:val="24"/>
          <w:szCs w:val="24"/>
        </w:rPr>
      </w:pPr>
      <w:r w:rsidRPr="00DC365C">
        <w:rPr>
          <w:sz w:val="24"/>
          <w:szCs w:val="24"/>
        </w:rPr>
        <w:t>É assegurado ao servidor público ocupante de cargo em comissão de livre nomeação e exoneração, contratado sob o regime jurídico trabalhista, o direito aos depósitos do FGTS. O art. 37, II, da CF não autoriza o empregador público a se esquivar da legislação trabalhista a que vinculado no momento da contra</w:t>
      </w:r>
      <w:r w:rsidR="00547391">
        <w:rPr>
          <w:sz w:val="24"/>
          <w:szCs w:val="24"/>
        </w:rPr>
        <w:t>ta</w:t>
      </w:r>
      <w:r w:rsidRPr="00DC365C">
        <w:rPr>
          <w:sz w:val="24"/>
          <w:szCs w:val="24"/>
        </w:rPr>
        <w:t xml:space="preserve">ção, nem permite concluir que a possibilidade de demissão </w:t>
      </w:r>
      <w:r w:rsidRPr="00DC365C">
        <w:rPr>
          <w:i/>
          <w:sz w:val="24"/>
          <w:szCs w:val="24"/>
        </w:rPr>
        <w:t xml:space="preserve">ad nutum </w:t>
      </w:r>
      <w:r w:rsidRPr="00DC365C">
        <w:rPr>
          <w:sz w:val="24"/>
          <w:szCs w:val="24"/>
        </w:rPr>
        <w:t xml:space="preserve">dos ocupantes de cargo em comissão é incompatível com o sistema de proteção social contra a dispensa sem justa causa. De outra sorte, se a Súmula nº 363 do TST assegura o direito ao FGTS mesmo diante de uma contratação nula, não se mostra razoável negar o referido direito a quem ingressa regularmente na Administração Pública. Por tais fundamentos, a SBDI-I, por unanimidade, conheceu dos embargos interpostos pelo reclamante, por divergência jurisprudencial, e, no mérito, deu-lhes provimento para deferir o pagamento do FGTS. </w:t>
      </w:r>
      <w:hyperlink r:id="rId12" w:history="1">
        <w:r w:rsidRPr="00DC365C">
          <w:rPr>
            <w:rStyle w:val="Hyperlink"/>
            <w:sz w:val="24"/>
            <w:szCs w:val="24"/>
          </w:rPr>
          <w:t>TST-E-RR-72000-66.2009.5.15.0025</w:t>
        </w:r>
      </w:hyperlink>
      <w:r w:rsidRPr="00DC365C">
        <w:rPr>
          <w:sz w:val="24"/>
          <w:szCs w:val="24"/>
          <w:u w:val="single"/>
        </w:rPr>
        <w:t>, SBDI-I, Min. Augusto César Leite de Carvalho, 2.10.2014</w:t>
      </w:r>
    </w:p>
    <w:p w:rsidR="00DC365C" w:rsidRDefault="00DC365C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476CB3" w:rsidRDefault="00476CB3" w:rsidP="00476CB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Dano moral. Atraso reiterado no pagamento de salários. Indenização devida. Dano </w:t>
      </w:r>
      <w:r>
        <w:rPr>
          <w:i/>
          <w:sz w:val="24"/>
          <w:szCs w:val="24"/>
        </w:rPr>
        <w:t>in re ipsa.</w:t>
      </w:r>
      <w:r>
        <w:rPr>
          <w:b/>
          <w:i/>
          <w:sz w:val="24"/>
          <w:szCs w:val="24"/>
        </w:rPr>
        <w:t xml:space="preserve">  </w:t>
      </w:r>
    </w:p>
    <w:p w:rsidR="00476CB3" w:rsidRDefault="00476CB3" w:rsidP="00476CB3">
      <w:pPr>
        <w:jc w:val="both"/>
        <w:rPr>
          <w:sz w:val="24"/>
          <w:szCs w:val="24"/>
        </w:rPr>
      </w:pPr>
      <w:r w:rsidRPr="00901C4B">
        <w:rPr>
          <w:sz w:val="24"/>
          <w:szCs w:val="24"/>
        </w:rPr>
        <w:t>O atraso reiterado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no pagamento dos salários configura dano moral </w:t>
      </w:r>
      <w:r>
        <w:rPr>
          <w:i/>
          <w:sz w:val="24"/>
          <w:szCs w:val="24"/>
        </w:rPr>
        <w:t>in re ipsa</w:t>
      </w:r>
      <w:r>
        <w:rPr>
          <w:sz w:val="24"/>
          <w:szCs w:val="24"/>
        </w:rPr>
        <w:t xml:space="preserve">, ou seja, presume-se a lesão ao direito de personalidade do trabalhador, pois gera estado permanente de apreensão no empregado, que se vê impossibilitado de honrar seus compromissos financeiros e de prover suas </w:t>
      </w:r>
      <w:r>
        <w:rPr>
          <w:sz w:val="24"/>
          <w:szCs w:val="24"/>
        </w:rPr>
        <w:lastRenderedPageBreak/>
        <w:t xml:space="preserve">necessidades básicas. No caso concreto, o reclamante teve seus salários atrasados por cinco ou seis meses, período em que também não recebeu vale-alimentação nem vale-transporte. Ademais, por ocasião de sua dispensa, não recebeu as verbas rescisórias devidas. Assim, por unanimidade, a SBDI-I, conheceu dos embargos interpostos pelo reclamante, por divergência jurisprudencial, e, no mérito, por maioria, deu-lhes provimento para restabelecer o acórdão do Regional, o qual manteve a sentença que condenou os reclamados ao pagamento de indenização por dando morais. Ressalvou a fundamentação o Ministro Aloysio Corrêa da Veiga. Vencidos os Ministros Renato de Lacerda Paiva, Ives Gandra Martins Filho e Guilherme Augusto Caputo Bastos. </w:t>
      </w:r>
      <w:hyperlink r:id="rId13" w:history="1">
        <w:r w:rsidRPr="00382624">
          <w:rPr>
            <w:rStyle w:val="Hyperlink"/>
            <w:sz w:val="24"/>
            <w:szCs w:val="24"/>
          </w:rPr>
          <w:t>TST-E-RR-577900-83.2009.5.09.0010</w:t>
        </w:r>
      </w:hyperlink>
      <w:r w:rsidRPr="006510D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SBDI-I, rel. Min. </w:t>
      </w:r>
      <w:r w:rsidRPr="006510DE">
        <w:rPr>
          <w:sz w:val="24"/>
          <w:szCs w:val="24"/>
          <w:u w:val="single"/>
        </w:rPr>
        <w:t>Márcio Eurico Vitral Amaro, 9.10.2014</w:t>
      </w:r>
      <w:r>
        <w:rPr>
          <w:sz w:val="24"/>
          <w:szCs w:val="24"/>
        </w:rPr>
        <w:t xml:space="preserve">  </w:t>
      </w:r>
    </w:p>
    <w:p w:rsidR="00476CB3" w:rsidRDefault="00476CB3" w:rsidP="00476CB3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476CB3" w:rsidRPr="004E5625" w:rsidRDefault="00476CB3" w:rsidP="00476CB3">
      <w:pPr>
        <w:jc w:val="both"/>
        <w:rPr>
          <w:b/>
          <w:i/>
          <w:sz w:val="24"/>
          <w:szCs w:val="24"/>
        </w:rPr>
      </w:pPr>
      <w:r w:rsidRPr="004E5625">
        <w:rPr>
          <w:b/>
          <w:i/>
          <w:sz w:val="24"/>
          <w:szCs w:val="24"/>
        </w:rPr>
        <w:t>Multa. Art. 477, § 8º, da CLT. Devida. Parcelamento de verbas rescisórias previsto em acordo coletivo.  Invalidade. Direito indisponível.</w:t>
      </w:r>
    </w:p>
    <w:p w:rsidR="00476CB3" w:rsidRPr="004E5625" w:rsidRDefault="00476CB3" w:rsidP="00476CB3">
      <w:pPr>
        <w:jc w:val="both"/>
        <w:rPr>
          <w:sz w:val="24"/>
          <w:szCs w:val="24"/>
        </w:rPr>
      </w:pPr>
      <w:r w:rsidRPr="004E5625">
        <w:rPr>
          <w:sz w:val="24"/>
          <w:szCs w:val="24"/>
        </w:rPr>
        <w:t xml:space="preserve">O pagamento de verbas rescisórias fora do prazo fixado no art. 477, § 6º, da CLT, em razão de parcelamento estabelecido em acordo coletivo, não afasta a aplicação da multa prevista no art. 477, § 8º, da CLT, tendo em vista a natureza cogente dessa norma, que se sobrepõe à vontade das partes. No caso concreto, consignou-se que o parcelamento das verbas rescisórias decorreu de acordo celebrado entre o sindicato profissional da reclamante e a reclamada, em razão de problemas financeiros enfrentados pela empregadora. Nesse contexto, a SBDI-I decidiu, à unanimidade, conhecer dos embargos no tópico, por divergência jurisprudencial, e, no mérito, por maioria, negar-lhes provimento. Vencidos os Ministros Alexandre Agra Belmonte, Ives Gandra Martins Filho e Renato de Lacerda Paiva. </w:t>
      </w:r>
      <w:hyperlink r:id="rId14" w:history="1">
        <w:r w:rsidRPr="00382624">
          <w:rPr>
            <w:rStyle w:val="Hyperlink"/>
            <w:sz w:val="24"/>
            <w:szCs w:val="24"/>
          </w:rPr>
          <w:t>TST-E-ED-ED-RR-1285700-40.2008.5.09.0016</w:t>
        </w:r>
      </w:hyperlink>
      <w:r w:rsidRPr="004E5625">
        <w:rPr>
          <w:sz w:val="24"/>
          <w:szCs w:val="24"/>
          <w:u w:val="single"/>
        </w:rPr>
        <w:t>, SBDI-I, rel. Min. Aloysio Corrêa da Veiga, 9.10.2014</w:t>
      </w:r>
    </w:p>
    <w:p w:rsidR="00476CB3" w:rsidRDefault="00476CB3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2108D3" w:rsidRPr="005D1DE4" w:rsidRDefault="002108D3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51" w:rsidRDefault="006A0D51">
      <w:r>
        <w:separator/>
      </w:r>
    </w:p>
  </w:endnote>
  <w:endnote w:type="continuationSeparator" w:id="0">
    <w:p w:rsidR="006A0D51" w:rsidRDefault="006A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7B5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1B7B54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51" w:rsidRDefault="006A0D51">
      <w:r>
        <w:separator/>
      </w:r>
    </w:p>
  </w:footnote>
  <w:footnote w:type="continuationSeparator" w:id="0">
    <w:p w:rsidR="006A0D51" w:rsidRDefault="006A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1D2AA6">
      <w:rPr>
        <w:shadow/>
        <w:sz w:val="24"/>
        <w:szCs w:val="24"/>
      </w:rPr>
      <w:t>91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1D2AA6">
      <w:rPr>
        <w:sz w:val="20"/>
        <w:szCs w:val="20"/>
      </w:rPr>
      <w:t>30</w:t>
    </w:r>
    <w:r w:rsidR="002108D3">
      <w:rPr>
        <w:sz w:val="20"/>
        <w:szCs w:val="20"/>
      </w:rPr>
      <w:t xml:space="preserve"> de </w:t>
    </w:r>
    <w:r w:rsidR="001D2AA6">
      <w:rPr>
        <w:sz w:val="20"/>
        <w:szCs w:val="20"/>
      </w:rPr>
      <w:t>setembro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1D2AA6">
      <w:rPr>
        <w:sz w:val="20"/>
        <w:szCs w:val="20"/>
      </w:rPr>
      <w:t>13</w:t>
    </w:r>
    <w:r w:rsidR="00FE00AD" w:rsidRPr="00971E07">
      <w:rPr>
        <w:sz w:val="20"/>
        <w:szCs w:val="20"/>
      </w:rPr>
      <w:t xml:space="preserve"> de </w:t>
    </w:r>
    <w:r w:rsidR="001D2AA6">
      <w:rPr>
        <w:sz w:val="20"/>
        <w:szCs w:val="20"/>
      </w:rPr>
      <w:t>outubro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</w:t>
    </w:r>
    <w:r w:rsidR="002108D3">
      <w:rPr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DC365C">
      <w:rPr>
        <w:b/>
        <w:sz w:val="40"/>
        <w:szCs w:val="40"/>
      </w:rPr>
      <w:t>91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DC365C">
      <w:rPr>
        <w:i/>
        <w:iCs/>
      </w:rPr>
      <w:t xml:space="preserve">30 de </w:t>
    </w:r>
    <w:r w:rsidR="002108D3">
      <w:rPr>
        <w:i/>
        <w:iCs/>
      </w:rPr>
      <w:t>setembro</w:t>
    </w:r>
    <w:r w:rsidR="00DC365C">
      <w:rPr>
        <w:i/>
        <w:iCs/>
      </w:rPr>
      <w:t xml:space="preserve"> a </w:t>
    </w:r>
    <w:r w:rsidR="001D2AA6">
      <w:rPr>
        <w:i/>
        <w:iCs/>
      </w:rPr>
      <w:t>13</w:t>
    </w:r>
    <w:r w:rsidR="00DC365C">
      <w:rPr>
        <w:i/>
        <w:iCs/>
      </w:rPr>
      <w:t xml:space="preserve"> de outubro</w:t>
    </w:r>
    <w:r w:rsidR="002108D3">
      <w:rPr>
        <w:i/>
        <w:iCs/>
      </w:rPr>
      <w:t xml:space="preserve"> </w:t>
    </w:r>
    <w:r w:rsidR="00FE00AD" w:rsidRPr="005D1DE4">
      <w:rPr>
        <w:i/>
        <w:iCs/>
      </w:rPr>
      <w:t>de 201</w:t>
    </w:r>
    <w:r w:rsidR="002108D3">
      <w:rPr>
        <w:i/>
        <w:iCs/>
      </w:rPr>
      <w:t>4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B7B54"/>
    <w:rsid w:val="001C04D2"/>
    <w:rsid w:val="001C271F"/>
    <w:rsid w:val="001C6C93"/>
    <w:rsid w:val="001D2AA6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08D3"/>
    <w:rsid w:val="002168DE"/>
    <w:rsid w:val="00224AC2"/>
    <w:rsid w:val="0023559D"/>
    <w:rsid w:val="002402B0"/>
    <w:rsid w:val="00242D33"/>
    <w:rsid w:val="002449F9"/>
    <w:rsid w:val="00245294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32F1"/>
    <w:rsid w:val="0037667D"/>
    <w:rsid w:val="00382624"/>
    <w:rsid w:val="003833BC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3F7DAC"/>
    <w:rsid w:val="0042772A"/>
    <w:rsid w:val="004323B0"/>
    <w:rsid w:val="00444E88"/>
    <w:rsid w:val="0045657C"/>
    <w:rsid w:val="004655CC"/>
    <w:rsid w:val="00466DB9"/>
    <w:rsid w:val="00476CB3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47391"/>
    <w:rsid w:val="00553197"/>
    <w:rsid w:val="0055409E"/>
    <w:rsid w:val="00556367"/>
    <w:rsid w:val="00556B35"/>
    <w:rsid w:val="00573E13"/>
    <w:rsid w:val="005822BA"/>
    <w:rsid w:val="00584F82"/>
    <w:rsid w:val="00586E13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A0D51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644E4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57C40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1AE4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066A4"/>
    <w:rsid w:val="00A32FBF"/>
    <w:rsid w:val="00A407EA"/>
    <w:rsid w:val="00A42A1E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4FDC"/>
    <w:rsid w:val="00B16EB9"/>
    <w:rsid w:val="00B22F24"/>
    <w:rsid w:val="00B22F53"/>
    <w:rsid w:val="00B24DBE"/>
    <w:rsid w:val="00B30A41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3F63"/>
    <w:rsid w:val="00BD6029"/>
    <w:rsid w:val="00BE0541"/>
    <w:rsid w:val="00BE1ADB"/>
    <w:rsid w:val="00C070DE"/>
    <w:rsid w:val="00C10694"/>
    <w:rsid w:val="00C26DFB"/>
    <w:rsid w:val="00C273FA"/>
    <w:rsid w:val="00C30D06"/>
    <w:rsid w:val="00C40420"/>
    <w:rsid w:val="00C42067"/>
    <w:rsid w:val="00C432D0"/>
    <w:rsid w:val="00C4398E"/>
    <w:rsid w:val="00C60B4A"/>
    <w:rsid w:val="00C65BDB"/>
    <w:rsid w:val="00C71A3B"/>
    <w:rsid w:val="00C76CFA"/>
    <w:rsid w:val="00C85DE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365C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34CD"/>
    <w:rsid w:val="00EC54DE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217D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4016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586E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242&amp;digitoTst=26&amp;anoTst=2013&amp;orgaoTst=5&amp;tribunalTst=02&amp;varaTst=0000" TargetMode="External"/><Relationship Id="rId13" Type="http://schemas.openxmlformats.org/officeDocument/2006/relationships/hyperlink" Target="https://aplicacao5.tst.jus.br/consultaProcessual/consultaTstNumUnica.do?consulta=Consultar&amp;conscsjt=&amp;numeroTst=577900&amp;digitoTst=83&amp;anoTst=2009&amp;orgaoTst=5&amp;tribunalTst=09&amp;varaTst=001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cacao5.tst.jus.br/consultaProcessual/consultaTstNumUnica.do?consulta=Consultar&amp;conscsjt=&amp;numeroTst=72000&amp;digitoTst=66&amp;anoTst=2009&amp;orgaoTst=5&amp;tribunalTst=15&amp;varaTst=002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56600&amp;digitoTst=22&amp;anoTst=2008&amp;orgaoTst=5&amp;tribunalTst=04&amp;varaTst=081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plicacao5.tst.jus.br/consultaProcessual/consultaTstNumUnica.do?consulta=Consultar&amp;conscsjt=&amp;numeroTst=2925&amp;digitoTst=70&amp;anoTst=2012&amp;orgaoTst=5&amp;tribunalTst=02&amp;varaTst=0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51060&amp;digitoTst=16&amp;anoTst=2012&amp;orgaoTst=5&amp;tribunalTst=02&amp;varaTst=0000" TargetMode="External"/><Relationship Id="rId14" Type="http://schemas.openxmlformats.org/officeDocument/2006/relationships/hyperlink" Target="https://aplicacao5.tst.jus.br/consultaProcessual/consultaTstNumUnica.do?consulta=Consultar&amp;conscsjt=&amp;numeroTst=1285700&amp;digitoTst=40&amp;anoTst=2008&amp;orgaoTst=5&amp;tribunalTst=09&amp;varaTst=001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2710-7657-4381-B8E2-144052C3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1758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11234</CharactersWithSpaces>
  <SharedDoc>false</SharedDoc>
  <HLinks>
    <vt:vector size="42" baseType="variant">
      <vt:variant>
        <vt:i4>2818099</vt:i4>
      </vt:variant>
      <vt:variant>
        <vt:i4>18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https://aplicacao5.tst.jus.br/consultaProcessual/consultaTstNumUnica.do?consulta=Consultar&amp;conscsjt=&amp;numeroTst=1285700&amp;digitoTst=40&amp;anoTst=2008&amp;orgaoTst=5&amp;tribunalTst=09&amp;varaTst=0016</vt:lpwstr>
      </vt:variant>
      <vt:variant>
        <vt:lpwstr/>
      </vt:variant>
      <vt:variant>
        <vt:i4>5963854</vt:i4>
      </vt:variant>
      <vt:variant>
        <vt:i4>15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https://aplicacao5.tst.jus.br/consultaProcessual/consultaTstNumUnica.do?consulta=Consultar&amp;conscsjt=&amp;numeroTst=577900&amp;digitoTst=83&amp;anoTst=2009&amp;orgaoTst=5&amp;tribunalTst=09&amp;varaTst=0010</vt:lpwstr>
      </vt:variant>
      <vt:variant>
        <vt:lpwstr/>
      </vt:variant>
      <vt:variant>
        <vt:i4>1179662</vt:i4>
      </vt:variant>
      <vt:variant>
        <vt:i4>12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https://aplicacao5.tst.jus.br/consultaProcessual/consultaTstNumUnica.do?consulta=Consultar&amp;conscsjt=&amp;numeroTst=72000&amp;digitoTst=66&amp;anoTst=2009&amp;orgaoTst=5&amp;tribunalTst=15&amp;varaTst=0025</vt:lpwstr>
      </vt:variant>
      <vt:variant>
        <vt:lpwstr/>
      </vt:variant>
      <vt:variant>
        <vt:i4>2031629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https://aplicacao5.tst.jus.br/consultaProcessual/consultaTstNumUnica.do?consulta=Consultar&amp;conscsjt=&amp;numeroTst=56600&amp;digitoTst=22&amp;anoTst=2008&amp;orgaoTst=5&amp;tribunalTst=04&amp;varaTst=0811</vt:lpwstr>
      </vt:variant>
      <vt:variant>
        <vt:lpwstr/>
      </vt:variant>
      <vt:variant>
        <vt:i4>7012466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https://aplicacao5.tst.jus.br/consultaProcessual/consultaTstNumUnica.do?consulta=Consultar&amp;conscsjt=&amp;numeroTst=2925&amp;digitoTst=70&amp;anoTst=2012&amp;orgaoTst=5&amp;tribunalTst=02&amp;varaTst=0000</vt:lpwstr>
      </vt:variant>
      <vt:variant>
        <vt:lpwstr/>
      </vt:variant>
      <vt:variant>
        <vt:i4>1179653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https://aplicacao5.tst.jus.br/consultaProcessual/consultaTstNumUnica.do?consulta=Consultar&amp;conscsjt=&amp;numeroTst=51060&amp;digitoTst=16&amp;anoTst=2012&amp;orgaoTst=5&amp;tribunalTst=02&amp;varaTst=0000</vt:lpwstr>
      </vt:variant>
      <vt:variant>
        <vt:lpwstr/>
      </vt:variant>
      <vt:variant>
        <vt:i4>2359351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https://aplicacao5.tst.jus.br/consultaProcessual/consultaTstNumUnica.do?consulta=Consultar&amp;conscsjt=&amp;numeroTst=242&amp;digitoTst=26&amp;anoTst=2013&amp;orgaoTst=5&amp;tribunalTst=02&amp;varaTst=0000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2014-10-22T20:45:00Z</cp:lastPrinted>
  <dcterms:created xsi:type="dcterms:W3CDTF">2018-06-27T21:47:00Z</dcterms:created>
  <dcterms:modified xsi:type="dcterms:W3CDTF">2018-06-27T21:47:00Z</dcterms:modified>
</cp:coreProperties>
</file>