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49" w:rsidRPr="00110811" w:rsidRDefault="00A51749">
      <w:pPr>
        <w:rPr>
          <w:sz w:val="10"/>
          <w:szCs w:val="10"/>
        </w:rPr>
      </w:pPr>
      <w:bookmarkStart w:id="0" w:name="_GoBack"/>
      <w:bookmarkEnd w:id="0"/>
    </w:p>
    <w:tbl>
      <w:tblPr>
        <w:tblW w:w="97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26DFB" w:rsidRPr="00187A37" w:rsidTr="003A6FF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718" w:type="dxa"/>
          </w:tcPr>
          <w:p w:rsidR="00110811" w:rsidRPr="00110811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2C2904" w:rsidRPr="005D1DE4" w:rsidRDefault="002C2904" w:rsidP="002C2904">
      <w:pPr>
        <w:ind w:right="-567"/>
        <w:jc w:val="both"/>
        <w:rPr>
          <w:sz w:val="10"/>
          <w:szCs w:val="10"/>
        </w:rPr>
      </w:pPr>
    </w:p>
    <w:p w:rsidR="00110811" w:rsidRPr="001A405F" w:rsidRDefault="00110811" w:rsidP="00110811">
      <w:pPr>
        <w:jc w:val="both"/>
        <w:rPr>
          <w:b/>
          <w:i/>
          <w:sz w:val="24"/>
          <w:szCs w:val="24"/>
        </w:rPr>
      </w:pPr>
      <w:r w:rsidRPr="001A405F">
        <w:rPr>
          <w:b/>
          <w:i/>
          <w:sz w:val="24"/>
          <w:szCs w:val="24"/>
        </w:rPr>
        <w:t xml:space="preserve">Empregado de banco. Advogado. Jornada de trabalho. </w:t>
      </w:r>
      <w:r>
        <w:rPr>
          <w:b/>
          <w:i/>
          <w:sz w:val="24"/>
          <w:szCs w:val="24"/>
        </w:rPr>
        <w:t xml:space="preserve">Inaplicabilidade do art. 224 da CLT. </w:t>
      </w:r>
      <w:r w:rsidRPr="001A405F">
        <w:rPr>
          <w:b/>
          <w:i/>
          <w:sz w:val="24"/>
          <w:szCs w:val="24"/>
        </w:rPr>
        <w:t>Dedicação exclusiva. Horas extras</w:t>
      </w:r>
      <w:r>
        <w:rPr>
          <w:b/>
          <w:i/>
          <w:sz w:val="24"/>
          <w:szCs w:val="24"/>
        </w:rPr>
        <w:t xml:space="preserve"> excedentes à sexta diária. Indevidas</w:t>
      </w:r>
      <w:r w:rsidRPr="001A405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Lei n.º 8.906/94</w:t>
      </w:r>
      <w:r w:rsidRPr="001A405F">
        <w:rPr>
          <w:b/>
          <w:i/>
          <w:sz w:val="24"/>
          <w:szCs w:val="24"/>
        </w:rPr>
        <w:t xml:space="preserve">. </w:t>
      </w:r>
    </w:p>
    <w:p w:rsidR="00110811" w:rsidRDefault="00110811" w:rsidP="0011081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 advogado que trabalha em instituição bancária, em regime de exclusividade, não faz jus ao pagamento de horas extraordinárias excedentes à sexta diária, não se beneficiando, portanto, da jornada especial dos bancários prevista no art. 224 da CLT, em face da disciplina específica a que está submetido (art. 20 da Lei n.º 8.906/94). </w:t>
      </w:r>
      <w:r w:rsidRPr="001A405F">
        <w:rPr>
          <w:sz w:val="24"/>
          <w:szCs w:val="24"/>
        </w:rPr>
        <w:t xml:space="preserve">Com esse entendimento, a SBDI-I, por unanimidade, </w:t>
      </w:r>
      <w:r>
        <w:rPr>
          <w:sz w:val="24"/>
          <w:szCs w:val="24"/>
        </w:rPr>
        <w:t xml:space="preserve">deu provimento aos embargos para excluir da condenação as horas extraordinárias além da sexta diária e seus reflexos. </w:t>
      </w:r>
      <w:hyperlink r:id="rId8" w:history="1">
        <w:r w:rsidRPr="00110811">
          <w:rPr>
            <w:rStyle w:val="Hyperlink"/>
            <w:sz w:val="24"/>
            <w:szCs w:val="24"/>
          </w:rPr>
          <w:t>TST-E-ED-RR-887300-67.2007.5.09.0673</w:t>
        </w:r>
      </w:hyperlink>
      <w:r w:rsidRPr="001A405F">
        <w:rPr>
          <w:sz w:val="24"/>
          <w:szCs w:val="24"/>
          <w:u w:val="single"/>
        </w:rPr>
        <w:t xml:space="preserve">, SBDI-I, rel. Min. </w:t>
      </w:r>
      <w:r>
        <w:rPr>
          <w:sz w:val="24"/>
          <w:szCs w:val="24"/>
          <w:u w:val="single"/>
        </w:rPr>
        <w:t>Aloysio Corrêa da Veiga</w:t>
      </w:r>
      <w:r w:rsidRPr="001A405F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17</w:t>
      </w:r>
      <w:r w:rsidRPr="001A405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5</w:t>
      </w:r>
      <w:r w:rsidRPr="001A405F">
        <w:rPr>
          <w:sz w:val="24"/>
          <w:szCs w:val="24"/>
          <w:u w:val="single"/>
        </w:rPr>
        <w:t>.2012.</w:t>
      </w:r>
    </w:p>
    <w:p w:rsidR="00110811" w:rsidRPr="00110811" w:rsidRDefault="00110811" w:rsidP="00110811">
      <w:pPr>
        <w:jc w:val="both"/>
        <w:rPr>
          <w:sz w:val="10"/>
          <w:szCs w:val="10"/>
          <w:u w:val="single"/>
        </w:rPr>
      </w:pPr>
    </w:p>
    <w:p w:rsidR="00110811" w:rsidRPr="00ED7621" w:rsidRDefault="00110811" w:rsidP="00110811">
      <w:pPr>
        <w:jc w:val="both"/>
        <w:rPr>
          <w:b/>
          <w:i/>
          <w:sz w:val="24"/>
          <w:szCs w:val="24"/>
        </w:rPr>
      </w:pPr>
      <w:r w:rsidRPr="00ED7621">
        <w:rPr>
          <w:b/>
          <w:i/>
          <w:sz w:val="24"/>
          <w:szCs w:val="24"/>
        </w:rPr>
        <w:t>Embargos</w:t>
      </w:r>
      <w:r>
        <w:rPr>
          <w:b/>
          <w:i/>
          <w:sz w:val="24"/>
          <w:szCs w:val="24"/>
        </w:rPr>
        <w:t xml:space="preserve"> regidos pela Lei n.º 11.496/2007</w:t>
      </w:r>
      <w:r w:rsidRPr="00ED7621">
        <w:rPr>
          <w:b/>
          <w:i/>
          <w:sz w:val="24"/>
          <w:szCs w:val="24"/>
        </w:rPr>
        <w:t xml:space="preserve">. Indenização </w:t>
      </w:r>
      <w:r>
        <w:rPr>
          <w:b/>
          <w:i/>
          <w:sz w:val="24"/>
          <w:szCs w:val="24"/>
        </w:rPr>
        <w:t>p</w:t>
      </w:r>
      <w:r w:rsidRPr="00ED7621">
        <w:rPr>
          <w:b/>
          <w:i/>
          <w:sz w:val="24"/>
          <w:szCs w:val="24"/>
        </w:rPr>
        <w:t xml:space="preserve">or </w:t>
      </w:r>
      <w:r>
        <w:rPr>
          <w:b/>
          <w:i/>
          <w:sz w:val="24"/>
          <w:szCs w:val="24"/>
        </w:rPr>
        <w:t>d</w:t>
      </w:r>
      <w:r w:rsidRPr="00ED7621">
        <w:rPr>
          <w:b/>
          <w:i/>
          <w:sz w:val="24"/>
          <w:szCs w:val="24"/>
        </w:rPr>
        <w:t xml:space="preserve">anos </w:t>
      </w:r>
      <w:r>
        <w:rPr>
          <w:b/>
          <w:i/>
          <w:sz w:val="24"/>
          <w:szCs w:val="24"/>
        </w:rPr>
        <w:t>m</w:t>
      </w:r>
      <w:r w:rsidRPr="00ED7621">
        <w:rPr>
          <w:b/>
          <w:i/>
          <w:sz w:val="24"/>
          <w:szCs w:val="24"/>
        </w:rPr>
        <w:t xml:space="preserve">orais. </w:t>
      </w:r>
      <w:r>
        <w:rPr>
          <w:b/>
          <w:i/>
          <w:sz w:val="24"/>
          <w:szCs w:val="24"/>
        </w:rPr>
        <w:t>Quantificação</w:t>
      </w:r>
      <w:r w:rsidRPr="00ED7621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Conhecimento por d</w:t>
      </w:r>
      <w:r w:rsidRPr="00ED7621">
        <w:rPr>
          <w:b/>
          <w:i/>
          <w:sz w:val="24"/>
          <w:szCs w:val="24"/>
        </w:rPr>
        <w:t xml:space="preserve">ivergência </w:t>
      </w:r>
      <w:r>
        <w:rPr>
          <w:b/>
          <w:i/>
          <w:sz w:val="24"/>
          <w:szCs w:val="24"/>
        </w:rPr>
        <w:t>j</w:t>
      </w:r>
      <w:r w:rsidRPr="00ED7621">
        <w:rPr>
          <w:b/>
          <w:i/>
          <w:sz w:val="24"/>
          <w:szCs w:val="24"/>
        </w:rPr>
        <w:t xml:space="preserve">urisprudencial. </w:t>
      </w:r>
      <w:r>
        <w:rPr>
          <w:b/>
          <w:i/>
          <w:sz w:val="24"/>
          <w:szCs w:val="24"/>
        </w:rPr>
        <w:t>Necessidade de i</w:t>
      </w:r>
      <w:r w:rsidRPr="004F54E6">
        <w:rPr>
          <w:b/>
          <w:i/>
          <w:sz w:val="24"/>
          <w:szCs w:val="24"/>
        </w:rPr>
        <w:t xml:space="preserve">dentidade </w:t>
      </w:r>
      <w:r>
        <w:rPr>
          <w:b/>
          <w:i/>
          <w:sz w:val="24"/>
          <w:szCs w:val="24"/>
        </w:rPr>
        <w:t xml:space="preserve">estrita </w:t>
      </w:r>
      <w:r w:rsidRPr="004F54E6">
        <w:rPr>
          <w:b/>
          <w:i/>
          <w:sz w:val="24"/>
          <w:szCs w:val="24"/>
        </w:rPr>
        <w:t>de</w:t>
      </w:r>
      <w:r w:rsidRPr="00ED762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 w:rsidRPr="00ED7621">
        <w:rPr>
          <w:b/>
          <w:i/>
          <w:sz w:val="24"/>
          <w:szCs w:val="24"/>
        </w:rPr>
        <w:t xml:space="preserve">remissas </w:t>
      </w:r>
      <w:r>
        <w:rPr>
          <w:b/>
          <w:i/>
          <w:sz w:val="24"/>
          <w:szCs w:val="24"/>
        </w:rPr>
        <w:t>fáticas.</w:t>
      </w:r>
      <w:r w:rsidRPr="004F54E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Incidência da Súmula n</w:t>
      </w:r>
      <w:r w:rsidR="00B86CAB">
        <w:rPr>
          <w:b/>
          <w:i/>
          <w:sz w:val="24"/>
          <w:szCs w:val="24"/>
        </w:rPr>
        <w:t xml:space="preserve">.º </w:t>
      </w:r>
      <w:r>
        <w:rPr>
          <w:b/>
          <w:i/>
          <w:sz w:val="24"/>
          <w:szCs w:val="24"/>
        </w:rPr>
        <w:t>296, I, do TST</w:t>
      </w:r>
      <w:r w:rsidRPr="00ED7621">
        <w:rPr>
          <w:b/>
          <w:i/>
          <w:sz w:val="24"/>
          <w:szCs w:val="24"/>
        </w:rPr>
        <w:t>.</w:t>
      </w:r>
    </w:p>
    <w:p w:rsidR="00110811" w:rsidRDefault="00110811" w:rsidP="00110811">
      <w:pPr>
        <w:jc w:val="both"/>
        <w:rPr>
          <w:sz w:val="24"/>
          <w:szCs w:val="24"/>
          <w:u w:val="single"/>
        </w:rPr>
      </w:pPr>
      <w:r w:rsidRPr="004F54E6">
        <w:rPr>
          <w:sz w:val="24"/>
          <w:szCs w:val="24"/>
        </w:rPr>
        <w:t xml:space="preserve">Considerando a dificuldade em se reconhecer identidade de premissas fáticas em casos que envolvam a </w:t>
      </w:r>
      <w:r>
        <w:rPr>
          <w:sz w:val="24"/>
          <w:szCs w:val="24"/>
        </w:rPr>
        <w:t>quantificação</w:t>
      </w:r>
      <w:r w:rsidRPr="004F54E6">
        <w:rPr>
          <w:sz w:val="24"/>
          <w:szCs w:val="24"/>
        </w:rPr>
        <w:t xml:space="preserve"> do dano moral, </w:t>
      </w:r>
      <w:r>
        <w:rPr>
          <w:sz w:val="24"/>
          <w:szCs w:val="24"/>
        </w:rPr>
        <w:t xml:space="preserve">para fins de comprovação de divergência específica a que alude o art. 894, II, da CLT, com redação dada pela Lei n.º 11.496/2007, </w:t>
      </w:r>
      <w:r w:rsidRPr="004F54E6">
        <w:rPr>
          <w:sz w:val="24"/>
          <w:szCs w:val="24"/>
        </w:rPr>
        <w:t>a</w:t>
      </w:r>
      <w:r w:rsidRPr="00ED7621">
        <w:rPr>
          <w:sz w:val="24"/>
          <w:szCs w:val="24"/>
        </w:rPr>
        <w:t xml:space="preserve"> SBDI-I, por maioria, não conheceu dos embargos</w:t>
      </w:r>
      <w:r w:rsidRPr="004F54E6">
        <w:rPr>
          <w:sz w:val="24"/>
          <w:szCs w:val="24"/>
        </w:rPr>
        <w:t xml:space="preserve">, fazendo incidir, na hipótese, a </w:t>
      </w:r>
      <w:r w:rsidRPr="00B75308">
        <w:rPr>
          <w:sz w:val="24"/>
          <w:szCs w:val="24"/>
        </w:rPr>
        <w:t>Súmula n.</w:t>
      </w:r>
      <w:r>
        <w:rPr>
          <w:sz w:val="24"/>
          <w:szCs w:val="24"/>
        </w:rPr>
        <w:t>º</w:t>
      </w:r>
      <w:r w:rsidRPr="00B75308">
        <w:rPr>
          <w:sz w:val="24"/>
          <w:szCs w:val="24"/>
        </w:rPr>
        <w:t xml:space="preserve"> 296, I, do TST.</w:t>
      </w:r>
      <w:r w:rsidRPr="004F54E6">
        <w:rPr>
          <w:sz w:val="24"/>
          <w:szCs w:val="24"/>
        </w:rPr>
        <w:t xml:space="preserve"> </w:t>
      </w:r>
      <w:r w:rsidRPr="00ED7621">
        <w:rPr>
          <w:sz w:val="24"/>
          <w:szCs w:val="24"/>
        </w:rPr>
        <w:t>Vencidos os ministros Brito Pereira, Ives Gandra Martins Filho, Renato de Lacerda Paiva, Dora Maria da Costa e Maria Cristina Peduzzi</w:t>
      </w:r>
      <w:r>
        <w:rPr>
          <w:sz w:val="24"/>
          <w:szCs w:val="24"/>
        </w:rPr>
        <w:t>,</w:t>
      </w:r>
      <w:r w:rsidRPr="00ED7621">
        <w:rPr>
          <w:sz w:val="24"/>
          <w:szCs w:val="24"/>
        </w:rPr>
        <w:t xml:space="preserve"> que conheciam dos embargos ao entendimento de que não</w:t>
      </w:r>
      <w:r>
        <w:rPr>
          <w:sz w:val="24"/>
          <w:szCs w:val="24"/>
        </w:rPr>
        <w:t xml:space="preserve"> </w:t>
      </w:r>
      <w:r w:rsidRPr="00ED7621">
        <w:rPr>
          <w:sz w:val="24"/>
          <w:szCs w:val="24"/>
        </w:rPr>
        <w:t>haveria de se exigir</w:t>
      </w:r>
      <w:r w:rsidRPr="004F54E6">
        <w:rPr>
          <w:sz w:val="24"/>
          <w:szCs w:val="24"/>
        </w:rPr>
        <w:t>, na espécie, a</w:t>
      </w:r>
      <w:r w:rsidRPr="00ED7621">
        <w:rPr>
          <w:sz w:val="24"/>
          <w:szCs w:val="24"/>
        </w:rPr>
        <w:t>dequação estrita</w:t>
      </w:r>
      <w:r>
        <w:rPr>
          <w:sz w:val="24"/>
          <w:szCs w:val="24"/>
        </w:rPr>
        <w:t xml:space="preserve"> de peculiaridades fáticas, sob pena de jamais se permitir, em sede de embargos, a incidência dos princípios da proporcionalidade e da razoabilidade na quantificação da indenização por danos morais</w:t>
      </w:r>
      <w:r w:rsidRPr="00A24F81">
        <w:rPr>
          <w:sz w:val="24"/>
          <w:szCs w:val="24"/>
        </w:rPr>
        <w:t xml:space="preserve">. </w:t>
      </w:r>
      <w:hyperlink r:id="rId9" w:history="1">
        <w:r w:rsidRPr="00A24F81">
          <w:rPr>
            <w:rStyle w:val="Hyperlink"/>
            <w:sz w:val="24"/>
            <w:szCs w:val="24"/>
          </w:rPr>
          <w:t>TST-E-RR-86600-47.2008.5.09.0073</w:t>
        </w:r>
      </w:hyperlink>
      <w:r w:rsidRPr="00ED7621">
        <w:rPr>
          <w:sz w:val="24"/>
          <w:szCs w:val="24"/>
          <w:u w:val="single"/>
        </w:rPr>
        <w:t xml:space="preserve">, </w:t>
      </w:r>
      <w:r w:rsidRPr="003D032E">
        <w:rPr>
          <w:sz w:val="24"/>
          <w:szCs w:val="24"/>
          <w:u w:val="single"/>
        </w:rPr>
        <w:t>SBDI-</w:t>
      </w:r>
      <w:r>
        <w:rPr>
          <w:sz w:val="24"/>
          <w:szCs w:val="24"/>
          <w:u w:val="single"/>
        </w:rPr>
        <w:t>I</w:t>
      </w:r>
      <w:r w:rsidRPr="003D032E">
        <w:rPr>
          <w:sz w:val="24"/>
          <w:szCs w:val="24"/>
          <w:u w:val="single"/>
        </w:rPr>
        <w:t>, rel</w:t>
      </w:r>
      <w:r>
        <w:rPr>
          <w:sz w:val="24"/>
          <w:szCs w:val="24"/>
          <w:u w:val="single"/>
        </w:rPr>
        <w:t>. Min. Horácio Raymundo d</w:t>
      </w:r>
      <w:r w:rsidRPr="00ED7621">
        <w:rPr>
          <w:sz w:val="24"/>
          <w:szCs w:val="24"/>
          <w:u w:val="single"/>
        </w:rPr>
        <w:t>e Senna Pires</w:t>
      </w:r>
      <w:r>
        <w:rPr>
          <w:sz w:val="24"/>
          <w:szCs w:val="24"/>
          <w:u w:val="single"/>
        </w:rPr>
        <w:t>, 17.5.2012.</w:t>
      </w:r>
    </w:p>
    <w:p w:rsidR="00110811" w:rsidRPr="00110811" w:rsidRDefault="00110811" w:rsidP="00110811">
      <w:pPr>
        <w:jc w:val="both"/>
        <w:rPr>
          <w:sz w:val="10"/>
          <w:szCs w:val="10"/>
          <w:u w:val="single"/>
        </w:rPr>
      </w:pPr>
    </w:p>
    <w:p w:rsidR="00110811" w:rsidRPr="00ED7621" w:rsidRDefault="00110811" w:rsidP="0011081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Estabilidade provisória. Lei Eleitoral n.º 9.504/97. Aquisição no período de projeção do aviso prévio indenizado. Possibilidade. Súmula n.º 371 do TST. Não incidência</w:t>
      </w:r>
      <w:r w:rsidRPr="00ED7621">
        <w:rPr>
          <w:b/>
          <w:i/>
          <w:sz w:val="24"/>
          <w:szCs w:val="24"/>
        </w:rPr>
        <w:t>.</w:t>
      </w:r>
    </w:p>
    <w:p w:rsidR="00110811" w:rsidRDefault="0011081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 período de projeção do aviso prévio indenizado integra o contrato de trabalho para todos os efeitos, alcançando, inclusive, a estabilidade provisória prevista na Lei Eleitoral n.º 9.504/97. Inteligência da Orientação Jurisprudencial n.º 82 da SBDI-I c/c art. 487, § 1º, parte final, da CLT. Com esse entendimento, a SBDI-I, por maioria, não conheceu dos embargos. Ressaltou o Ministro redator que na espécie não incide a Súmula n.º 371 do TST porque a limitação às vantagens econômicas nela prevista se refere apenas à hipótese do § 6º do art. 487 da CLT, não tendo o condão de frustrar o direito à estabilidade garantida por norma de ordem pública. Vencidos os ministros Brito Pereira, relator, Ives Gandra Martins Filho, Maria Cristina Peduzzi e Dora Maria da Costa, que conheciam do recurso por contrariedade à Súmula n.º 371 do TST e, no mérito, davam-lhe provimento para excluir da condenação a indenização decorrente da estabilidade pré-eleitoral</w:t>
      </w:r>
      <w:r w:rsidRPr="00A24F81">
        <w:rPr>
          <w:sz w:val="24"/>
          <w:szCs w:val="24"/>
        </w:rPr>
        <w:t xml:space="preserve">. </w:t>
      </w:r>
      <w:hyperlink r:id="rId10" w:history="1">
        <w:r w:rsidRPr="00E46E2C">
          <w:rPr>
            <w:rStyle w:val="Hyperlink"/>
            <w:sz w:val="24"/>
            <w:szCs w:val="24"/>
          </w:rPr>
          <w:t>TST-E-RR-16000-14.2007.5.04.0028</w:t>
        </w:r>
      </w:hyperlink>
      <w:r w:rsidRPr="00E46E2C">
        <w:rPr>
          <w:sz w:val="24"/>
          <w:szCs w:val="24"/>
          <w:u w:val="single"/>
        </w:rPr>
        <w:t>, SBDI-I, rel. Min. Brito Pereira, red. p/ acórdão Min. Luiz Philippe Vieira de Mello Filho,</w:t>
      </w:r>
      <w:r>
        <w:rPr>
          <w:sz w:val="24"/>
          <w:szCs w:val="24"/>
          <w:u w:val="single"/>
        </w:rPr>
        <w:t xml:space="preserve"> </w:t>
      </w:r>
      <w:r w:rsidRPr="00E46E2C">
        <w:rPr>
          <w:sz w:val="24"/>
          <w:szCs w:val="24"/>
          <w:u w:val="single"/>
        </w:rPr>
        <w:t>17.5.2012.</w:t>
      </w:r>
    </w:p>
    <w:p w:rsidR="00110811" w:rsidRPr="00110811" w:rsidRDefault="00110811">
      <w:pPr>
        <w:jc w:val="both"/>
        <w:rPr>
          <w:sz w:val="10"/>
          <w:szCs w:val="10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11081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04" w:right="1134" w:bottom="567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D1" w:rsidRDefault="009A39D1">
      <w:r>
        <w:separator/>
      </w:r>
    </w:p>
  </w:endnote>
  <w:endnote w:type="continuationSeparator" w:id="0">
    <w:p w:rsidR="009A39D1" w:rsidRDefault="009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F7" w:rsidRDefault="003A6FF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A6FF7" w:rsidRDefault="003A6FF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F7" w:rsidRDefault="003A6FF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A0BF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D1" w:rsidRDefault="009A39D1">
      <w:r>
        <w:separator/>
      </w:r>
    </w:p>
  </w:footnote>
  <w:footnote w:type="continuationSeparator" w:id="0">
    <w:p w:rsidR="009A39D1" w:rsidRDefault="009A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F7" w:rsidRPr="00971E07" w:rsidRDefault="003A6FF7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>º 1</w:t>
    </w:r>
  </w:p>
  <w:p w:rsidR="003A6FF7" w:rsidRPr="00971E07" w:rsidRDefault="003A6FF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>
      <w:rPr>
        <w:sz w:val="20"/>
        <w:szCs w:val="20"/>
      </w:rPr>
      <w:t xml:space="preserve">Período: </w:t>
    </w:r>
    <w:r w:rsidRPr="00971E07">
      <w:rPr>
        <w:sz w:val="20"/>
        <w:szCs w:val="20"/>
      </w:rPr>
      <w:t>1º a 7 de março de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F7" w:rsidRDefault="003A6FF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35pt;height:77pt">
          <v:imagedata r:id="rId1" o:title="TST LOGO"/>
        </v:shape>
      </w:pict>
    </w:r>
  </w:p>
  <w:p w:rsidR="003A6FF7" w:rsidRPr="002168DE" w:rsidRDefault="003A6FF7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>
      <w:rPr>
        <w:b/>
        <w:sz w:val="40"/>
        <w:szCs w:val="40"/>
      </w:rPr>
      <w:t>9</w:t>
    </w:r>
  </w:p>
  <w:p w:rsidR="003A6FF7" w:rsidRPr="005D1DE4" w:rsidRDefault="003A6FF7">
    <w:pPr>
      <w:pStyle w:val="Cabealho"/>
      <w:jc w:val="right"/>
      <w:rPr>
        <w:i/>
        <w:iCs/>
        <w:sz w:val="10"/>
        <w:szCs w:val="10"/>
      </w:rPr>
    </w:pPr>
  </w:p>
  <w:p w:rsidR="003A6FF7" w:rsidRPr="005D1DE4" w:rsidRDefault="003A6FF7">
    <w:pPr>
      <w:pStyle w:val="Cabealho"/>
      <w:jc w:val="right"/>
    </w:pPr>
    <w:r>
      <w:rPr>
        <w:i/>
        <w:iCs/>
      </w:rPr>
      <w:t>Período:</w:t>
    </w:r>
    <w:r w:rsidRPr="005D1DE4">
      <w:rPr>
        <w:i/>
        <w:iCs/>
      </w:rPr>
      <w:t xml:space="preserve"> </w:t>
    </w:r>
    <w:r>
      <w:rPr>
        <w:i/>
        <w:iCs/>
      </w:rPr>
      <w:t>17 a 23 de maio</w:t>
    </w:r>
    <w:r w:rsidRPr="005D1DE4">
      <w:rPr>
        <w:i/>
        <w:iCs/>
      </w:rPr>
      <w:t xml:space="preserve"> de 2012</w:t>
    </w:r>
  </w:p>
  <w:p w:rsidR="003A6FF7" w:rsidRDefault="003A6FF7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081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A6FF7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02B3E"/>
    <w:rsid w:val="0051538E"/>
    <w:rsid w:val="00517E01"/>
    <w:rsid w:val="00521EEC"/>
    <w:rsid w:val="005421D2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A0BF5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3F3D"/>
    <w:rsid w:val="0081742D"/>
    <w:rsid w:val="00821F4D"/>
    <w:rsid w:val="00823906"/>
    <w:rsid w:val="008409D3"/>
    <w:rsid w:val="00845559"/>
    <w:rsid w:val="00854DB8"/>
    <w:rsid w:val="00854EF2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5519C"/>
    <w:rsid w:val="00960A3B"/>
    <w:rsid w:val="00967DE0"/>
    <w:rsid w:val="00971E07"/>
    <w:rsid w:val="00980944"/>
    <w:rsid w:val="00986D77"/>
    <w:rsid w:val="009943EC"/>
    <w:rsid w:val="009A32D5"/>
    <w:rsid w:val="009A39D1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6CAB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57F8A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basedOn w:val="Fontepargpadro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basedOn w:val="Fontepargpadro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basedOn w:val="Fontepargpadro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basedOn w:val="Fontepargpadro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02.tst.jus.br/pls/ap01/ap_red100.resumo?num_int=75703&amp;ano_int=2010&amp;qtd_acesso=2939367&amp;novoportal=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xt02.tst.jus.br/pls/ap01/ap_red100.resumo?num_int=652100&amp;ano_int=2009&amp;qtd_acesso=8602801&amp;novoportal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t02.tst.jus.br/pls/ap01/ap_red100.resumo?num_int=242315&amp;ano_int=2010&amp;qtd_acesso=5818383&amp;novoportal=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B11E-4A7D-44AA-9789-E010A34B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4074</CharactersWithSpaces>
  <SharedDoc>false</SharedDoc>
  <HLinks>
    <vt:vector size="18" baseType="variant">
      <vt:variant>
        <vt:i4>4063292</vt:i4>
      </vt:variant>
      <vt:variant>
        <vt:i4>6</vt:i4>
      </vt:variant>
      <vt:variant>
        <vt:i4>0</vt:i4>
      </vt:variant>
      <vt:variant>
        <vt:i4>5</vt:i4>
      </vt:variant>
      <vt:variant>
        <vt:lpwstr>http://ext02.tst.jus.br/pls/ap01/ap_red100.resumo?num_int=652100&amp;ano_int=2009&amp;qtd_acesso=8602801&amp;novoportal=1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http://ext02.tst.jus.br/pls/ap01/ap_red100.resumo?num_int=242315&amp;ano_int=2010&amp;qtd_acesso=5818383&amp;novoportal=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http://ext02.tst.jus.br/pls/ap01/ap_red100.resumo?num_int=75703&amp;ano_int=2010&amp;qtd_acesso=2939367&amp;novoportal=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dc:description/>
  <cp:lastModifiedBy>c041658</cp:lastModifiedBy>
  <cp:revision>2</cp:revision>
  <cp:lastPrinted>2012-03-09T15:01:00Z</cp:lastPrinted>
  <dcterms:created xsi:type="dcterms:W3CDTF">2018-06-27T22:31:00Z</dcterms:created>
  <dcterms:modified xsi:type="dcterms:W3CDTF">2018-06-27T22:31:00Z</dcterms:modified>
</cp:coreProperties>
</file>