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B1" w:rsidRPr="00FB20B1" w:rsidRDefault="00FB20B1">
      <w:pPr>
        <w:rPr>
          <w:sz w:val="10"/>
          <w:szCs w:val="10"/>
        </w:rPr>
      </w:pPr>
      <w:bookmarkStart w:id="0" w:name="_GoBack"/>
      <w:bookmarkEnd w:id="0"/>
    </w:p>
    <w:tbl>
      <w:tblPr>
        <w:tblW w:w="95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8"/>
      </w:tblGrid>
      <w:tr w:rsidR="00C26DFB" w:rsidRPr="00187A37" w:rsidTr="00FB20B1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9538" w:type="dxa"/>
          </w:tcPr>
          <w:p w:rsidR="00C26DFB" w:rsidRPr="00187A37" w:rsidRDefault="00C26DFB" w:rsidP="00DC50E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sz w:val="10"/>
                <w:szCs w:val="10"/>
              </w:rPr>
            </w:pPr>
            <w:r w:rsidRPr="00187A37">
              <w:rPr>
                <w:sz w:val="16"/>
                <w:szCs w:val="16"/>
              </w:rPr>
              <w:t>Este Informativo, elaborado a partir de notas tomadas nas sessões de julgamentos, contém resumos não</w:t>
            </w:r>
            <w:r w:rsidR="00DC50EB" w:rsidRPr="00187A37">
              <w:rPr>
                <w:sz w:val="16"/>
                <w:szCs w:val="16"/>
              </w:rPr>
              <w:t xml:space="preserve"> </w:t>
            </w:r>
            <w:r w:rsidRPr="00187A37">
              <w:rPr>
                <w:sz w:val="16"/>
                <w:szCs w:val="16"/>
              </w:rPr>
              <w:t>oficiais de decisões proferidas pelo Tribunal. A fidelidade dos resumos ao conteúdo efetivo das decisões, embora seja uma das metas perseguidas neste trabalho, somente poderá ser aferida após a sua publicação no Diário</w:t>
            </w:r>
            <w:r w:rsidR="00980944" w:rsidRPr="00187A37">
              <w:rPr>
                <w:sz w:val="16"/>
                <w:szCs w:val="16"/>
              </w:rPr>
              <w:t xml:space="preserve"> Eletrônico </w:t>
            </w:r>
            <w:r w:rsidRPr="00187A37">
              <w:rPr>
                <w:sz w:val="16"/>
                <w:szCs w:val="16"/>
              </w:rPr>
              <w:t>da Justiça</w:t>
            </w:r>
            <w:r w:rsidR="00980944" w:rsidRPr="00187A37">
              <w:rPr>
                <w:sz w:val="16"/>
                <w:szCs w:val="16"/>
              </w:rPr>
              <w:t xml:space="preserve"> do Trabalho</w:t>
            </w:r>
            <w:r w:rsidRPr="00187A37">
              <w:rPr>
                <w:sz w:val="16"/>
                <w:szCs w:val="16"/>
              </w:rPr>
              <w:t>.</w:t>
            </w:r>
          </w:p>
        </w:tc>
      </w:tr>
    </w:tbl>
    <w:p w:rsidR="00EA29F5" w:rsidRPr="005D1DE4" w:rsidRDefault="00EA29F5" w:rsidP="00EA29F5">
      <w:pPr>
        <w:pStyle w:val="Corpodetexto2"/>
        <w:jc w:val="center"/>
        <w:rPr>
          <w:b/>
          <w:bCs/>
          <w:emboss/>
          <w:sz w:val="10"/>
          <w:szCs w:val="10"/>
        </w:rPr>
      </w:pPr>
    </w:p>
    <w:p w:rsidR="000228E6" w:rsidRPr="00971E07" w:rsidRDefault="00631F1C" w:rsidP="00631F1C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left"/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ab/>
      </w:r>
      <w:r w:rsidR="000228E6"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ÓRGÃO ESPECIAL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ab/>
      </w:r>
    </w:p>
    <w:p w:rsidR="002108D3" w:rsidRPr="002108D3" w:rsidRDefault="002108D3" w:rsidP="002108D3">
      <w:pPr>
        <w:jc w:val="both"/>
        <w:rPr>
          <w:b/>
          <w:bCs/>
          <w:i/>
          <w:sz w:val="24"/>
          <w:szCs w:val="24"/>
        </w:rPr>
      </w:pPr>
    </w:p>
    <w:p w:rsidR="002108D3" w:rsidRPr="000F0AC8" w:rsidRDefault="002108D3" w:rsidP="002108D3">
      <w:pPr>
        <w:jc w:val="both"/>
        <w:rPr>
          <w:b/>
          <w:i/>
          <w:sz w:val="24"/>
          <w:szCs w:val="24"/>
        </w:rPr>
      </w:pPr>
      <w:r w:rsidRPr="000F0AC8">
        <w:rPr>
          <w:b/>
          <w:bCs/>
          <w:i/>
          <w:sz w:val="24"/>
          <w:szCs w:val="24"/>
        </w:rPr>
        <w:t xml:space="preserve">Averbação de tempo de serviço prestado em </w:t>
      </w:r>
      <w:r w:rsidRPr="000F0AC8">
        <w:rPr>
          <w:b/>
          <w:i/>
          <w:sz w:val="24"/>
          <w:szCs w:val="24"/>
        </w:rPr>
        <w:t>órgão integrante da Administração Pública Indireta. R</w:t>
      </w:r>
      <w:r w:rsidRPr="000F0AC8">
        <w:rPr>
          <w:b/>
          <w:bCs/>
          <w:i/>
          <w:sz w:val="24"/>
          <w:szCs w:val="24"/>
        </w:rPr>
        <w:t>eposicionamento em carreira do Poder Judiciário e dispensa do estágio probatório. Impossibilidade.</w:t>
      </w:r>
    </w:p>
    <w:p w:rsidR="002108D3" w:rsidRPr="005203F5" w:rsidRDefault="002108D3" w:rsidP="002108D3">
      <w:pPr>
        <w:pStyle w:val="Corpo"/>
        <w:spacing w:line="240" w:lineRule="auto"/>
        <w:ind w:firstLine="0"/>
        <w:rPr>
          <w:rFonts w:ascii="Times New Roman" w:hAnsi="Times New Roman" w:cs="Times New Roman"/>
          <w:lang w:val="pt-BR"/>
        </w:rPr>
      </w:pPr>
      <w:r w:rsidRPr="005203F5">
        <w:rPr>
          <w:rFonts w:ascii="Times New Roman" w:hAnsi="Times New Roman" w:cs="Times New Roman"/>
          <w:lang w:val="pt-BR"/>
        </w:rPr>
        <w:t xml:space="preserve">O tempo de serviço prestado em </w:t>
      </w:r>
      <w:r>
        <w:rPr>
          <w:rFonts w:ascii="Times New Roman" w:hAnsi="Times New Roman" w:cs="Times New Roman"/>
          <w:lang w:val="pt-BR"/>
        </w:rPr>
        <w:t xml:space="preserve">outra </w:t>
      </w:r>
      <w:r w:rsidRPr="005203F5">
        <w:rPr>
          <w:rFonts w:ascii="Times New Roman" w:hAnsi="Times New Roman" w:cs="Times New Roman"/>
          <w:lang w:val="pt-BR"/>
        </w:rPr>
        <w:t>carreira não pode ser computado para fins de dispensa do estágio probatório e reposicionamento em classe/padrão superior d</w:t>
      </w:r>
      <w:r>
        <w:rPr>
          <w:rFonts w:ascii="Times New Roman" w:hAnsi="Times New Roman" w:cs="Times New Roman"/>
          <w:lang w:val="pt-BR"/>
        </w:rPr>
        <w:t>e</w:t>
      </w:r>
      <w:r w:rsidRPr="005203F5">
        <w:rPr>
          <w:rFonts w:ascii="Times New Roman" w:hAnsi="Times New Roman" w:cs="Times New Roman"/>
          <w:lang w:val="pt-BR"/>
        </w:rPr>
        <w:t xml:space="preserve"> carreira </w:t>
      </w:r>
      <w:r>
        <w:rPr>
          <w:rFonts w:ascii="Times New Roman" w:hAnsi="Times New Roman" w:cs="Times New Roman"/>
          <w:lang w:val="pt-BR"/>
        </w:rPr>
        <w:t>no</w:t>
      </w:r>
      <w:r w:rsidRPr="005203F5">
        <w:rPr>
          <w:rFonts w:ascii="Times New Roman" w:hAnsi="Times New Roman" w:cs="Times New Roman"/>
          <w:lang w:val="pt-BR"/>
        </w:rPr>
        <w:t xml:space="preserve"> Poder Judiciário</w:t>
      </w:r>
      <w:r>
        <w:rPr>
          <w:rFonts w:ascii="Times New Roman" w:hAnsi="Times New Roman" w:cs="Times New Roman"/>
          <w:lang w:val="pt-BR"/>
        </w:rPr>
        <w:t>, por falta de fundamento legal</w:t>
      </w:r>
      <w:r w:rsidRPr="005203F5">
        <w:rPr>
          <w:rFonts w:ascii="Times New Roman" w:hAnsi="Times New Roman" w:cs="Times New Roman"/>
          <w:lang w:val="pt-BR"/>
        </w:rPr>
        <w:t>.</w:t>
      </w:r>
      <w:r>
        <w:rPr>
          <w:rFonts w:ascii="Times New Roman" w:hAnsi="Times New Roman" w:cs="Times New Roman"/>
          <w:lang w:val="pt-BR"/>
        </w:rPr>
        <w:t xml:space="preserve"> Na Administração Pública, não há </w:t>
      </w:r>
      <w:r w:rsidRPr="005203F5">
        <w:rPr>
          <w:rFonts w:ascii="Times New Roman" w:hAnsi="Times New Roman" w:cs="Times New Roman"/>
          <w:lang w:val="pt-BR"/>
        </w:rPr>
        <w:t xml:space="preserve">unidade </w:t>
      </w:r>
      <w:r>
        <w:rPr>
          <w:rFonts w:ascii="Times New Roman" w:hAnsi="Times New Roman" w:cs="Times New Roman"/>
          <w:lang w:val="pt-BR"/>
        </w:rPr>
        <w:t>de</w:t>
      </w:r>
      <w:r w:rsidRPr="005203F5">
        <w:rPr>
          <w:rFonts w:ascii="Times New Roman" w:hAnsi="Times New Roman" w:cs="Times New Roman"/>
          <w:lang w:val="pt-BR"/>
        </w:rPr>
        <w:t xml:space="preserve"> carreiras</w:t>
      </w:r>
      <w:r>
        <w:rPr>
          <w:rFonts w:ascii="Times New Roman" w:hAnsi="Times New Roman" w:cs="Times New Roman"/>
          <w:lang w:val="pt-BR"/>
        </w:rPr>
        <w:t xml:space="preserve"> e </w:t>
      </w:r>
      <w:r w:rsidRPr="005203F5">
        <w:rPr>
          <w:rFonts w:ascii="Times New Roman" w:hAnsi="Times New Roman" w:cs="Times New Roman"/>
          <w:lang w:val="pt-BR"/>
        </w:rPr>
        <w:t xml:space="preserve">o estágio probatório deve ser cumprido a cada novo cargo para o qual </w:t>
      </w:r>
      <w:r>
        <w:rPr>
          <w:rFonts w:ascii="Times New Roman" w:hAnsi="Times New Roman" w:cs="Times New Roman"/>
          <w:lang w:val="pt-BR"/>
        </w:rPr>
        <w:t xml:space="preserve">o </w:t>
      </w:r>
      <w:r w:rsidRPr="005203F5">
        <w:rPr>
          <w:rFonts w:ascii="Times New Roman" w:hAnsi="Times New Roman" w:cs="Times New Roman"/>
          <w:lang w:val="pt-BR"/>
        </w:rPr>
        <w:t>servidor seja nomeado, conforme dispõe os arts. 20, § 2º, e 29 da Lei nº 8.112/90.</w:t>
      </w:r>
      <w:r>
        <w:rPr>
          <w:rFonts w:ascii="Times New Roman" w:hAnsi="Times New Roman" w:cs="Times New Roman"/>
          <w:lang w:val="pt-BR"/>
        </w:rPr>
        <w:t xml:space="preserve"> </w:t>
      </w:r>
      <w:r w:rsidRPr="005203F5">
        <w:rPr>
          <w:rFonts w:ascii="Times New Roman" w:hAnsi="Times New Roman" w:cs="Times New Roman"/>
          <w:lang w:val="pt-BR"/>
        </w:rPr>
        <w:t xml:space="preserve"> Com esse entendimento, o Órgão Especial, à unanimidade, conheceu e negou provimento ao recurso ordinário em mandado de segurança impetrado </w:t>
      </w:r>
      <w:r>
        <w:rPr>
          <w:rFonts w:ascii="Times New Roman" w:hAnsi="Times New Roman" w:cs="Times New Roman"/>
          <w:lang w:val="pt-BR"/>
        </w:rPr>
        <w:t xml:space="preserve">com vistas a </w:t>
      </w:r>
      <w:r w:rsidRPr="005203F5">
        <w:rPr>
          <w:rFonts w:ascii="Times New Roman" w:hAnsi="Times New Roman" w:cs="Times New Roman"/>
          <w:lang w:val="pt-BR"/>
        </w:rPr>
        <w:t xml:space="preserve">garantir a averbação do tempo de serviço prestado no cargo de médico em órgão integrante da Administração Pública Indireta (Universidade Federal de Minas Gerais), para progressão funcional e dispensa do estágio probatório no </w:t>
      </w:r>
      <w:r>
        <w:rPr>
          <w:rFonts w:ascii="Times New Roman" w:hAnsi="Times New Roman" w:cs="Times New Roman"/>
          <w:lang w:val="pt-BR"/>
        </w:rPr>
        <w:t xml:space="preserve">cargo da carreira de Analista Judiciário – Especialidade Medicina do </w:t>
      </w:r>
      <w:r w:rsidRPr="005203F5">
        <w:rPr>
          <w:rFonts w:ascii="Times New Roman" w:hAnsi="Times New Roman" w:cs="Times New Roman"/>
          <w:lang w:val="pt-BR"/>
        </w:rPr>
        <w:t xml:space="preserve">Poder Judiciário. </w:t>
      </w:r>
      <w:hyperlink r:id="rId8" w:history="1">
        <w:r w:rsidRPr="00B14FDC">
          <w:rPr>
            <w:rStyle w:val="Hyperlink"/>
            <w:rFonts w:ascii="Times New Roman" w:hAnsi="Times New Roman"/>
            <w:lang w:val="pt-BR"/>
          </w:rPr>
          <w:t>TST-RO-10203-61.2013.5.03.0000</w:t>
        </w:r>
      </w:hyperlink>
      <w:r>
        <w:rPr>
          <w:rFonts w:ascii="Times New Roman" w:hAnsi="Times New Roman" w:cs="Times New Roman"/>
          <w:u w:val="single"/>
          <w:lang w:val="pt-BR"/>
        </w:rPr>
        <w:t>, Órgão Especial,</w:t>
      </w:r>
      <w:r w:rsidRPr="005203F5">
        <w:rPr>
          <w:rFonts w:ascii="Times New Roman" w:hAnsi="Times New Roman" w:cs="Times New Roman"/>
          <w:u w:val="single"/>
          <w:lang w:val="pt-BR"/>
        </w:rPr>
        <w:t xml:space="preserve"> </w:t>
      </w:r>
      <w:r>
        <w:rPr>
          <w:rFonts w:ascii="Times New Roman" w:hAnsi="Times New Roman" w:cs="Times New Roman"/>
          <w:u w:val="single"/>
          <w:lang w:val="pt-BR"/>
        </w:rPr>
        <w:t>r</w:t>
      </w:r>
      <w:r w:rsidRPr="005203F5">
        <w:rPr>
          <w:rFonts w:ascii="Times New Roman" w:hAnsi="Times New Roman" w:cs="Times New Roman"/>
          <w:u w:val="single"/>
          <w:lang w:val="pt-BR"/>
        </w:rPr>
        <w:t>el.</w:t>
      </w:r>
      <w:r>
        <w:rPr>
          <w:rFonts w:ascii="Times New Roman" w:hAnsi="Times New Roman" w:cs="Times New Roman"/>
          <w:u w:val="single"/>
          <w:lang w:val="pt-BR"/>
        </w:rPr>
        <w:t xml:space="preserve"> Min.</w:t>
      </w:r>
      <w:r w:rsidRPr="005203F5">
        <w:rPr>
          <w:rFonts w:ascii="Times New Roman" w:hAnsi="Times New Roman" w:cs="Times New Roman"/>
          <w:u w:val="single"/>
          <w:lang w:val="pt-BR"/>
        </w:rPr>
        <w:t xml:space="preserve"> </w:t>
      </w:r>
      <w:r>
        <w:rPr>
          <w:rFonts w:ascii="Times New Roman" w:hAnsi="Times New Roman" w:cs="Times New Roman"/>
          <w:u w:val="single"/>
          <w:lang w:val="pt-BR"/>
        </w:rPr>
        <w:t>Maria Cristina Irigoyen Peduzzi, 1º.</w:t>
      </w:r>
      <w:r w:rsidRPr="005203F5">
        <w:rPr>
          <w:rFonts w:ascii="Times New Roman" w:hAnsi="Times New Roman" w:cs="Times New Roman"/>
          <w:u w:val="single"/>
          <w:lang w:val="pt-BR"/>
        </w:rPr>
        <w:t>9.2014</w:t>
      </w:r>
    </w:p>
    <w:p w:rsidR="00631F1C" w:rsidRPr="002108D3" w:rsidRDefault="002108D3" w:rsidP="002108D3">
      <w:pPr>
        <w:pStyle w:val="Corpo"/>
        <w:spacing w:line="240" w:lineRule="auto"/>
        <w:ind w:firstLine="0"/>
        <w:rPr>
          <w:rFonts w:ascii="Times New Roman" w:hAnsi="Times New Roman" w:cs="Times New Roman"/>
          <w:b/>
          <w:bCs/>
          <w:shadow/>
          <w:color w:val="auto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 </w:t>
      </w:r>
      <w:r w:rsidR="00631F1C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ab/>
      </w:r>
    </w:p>
    <w:p w:rsidR="00631F1C" w:rsidRPr="00971E07" w:rsidRDefault="00631F1C" w:rsidP="00631F1C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</w:pP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SEÇÃO ESPECIALIZADA EM DISSÍDIOS COLETIVOS</w:t>
      </w:r>
    </w:p>
    <w:p w:rsidR="00C71A3B" w:rsidRPr="002108D3" w:rsidRDefault="00C71A3B" w:rsidP="00F82D8F">
      <w:pPr>
        <w:pStyle w:val="Corpo"/>
        <w:spacing w:line="240" w:lineRule="auto"/>
        <w:ind w:firstLine="0"/>
        <w:rPr>
          <w:rFonts w:ascii="Times New Roman" w:hAnsi="Times New Roman" w:cs="Times New Roman"/>
          <w:b/>
          <w:bCs/>
          <w:i/>
          <w:iCs/>
          <w:lang w:val="pt-BR"/>
        </w:rPr>
      </w:pPr>
    </w:p>
    <w:p w:rsidR="002108D3" w:rsidRPr="00BD3F63" w:rsidRDefault="00586E13" w:rsidP="002108D3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Trabalhador portuário avulso. Norma coletiva. </w:t>
      </w:r>
      <w:r w:rsidR="002108D3" w:rsidRPr="00BD3F63">
        <w:rPr>
          <w:b/>
          <w:i/>
          <w:sz w:val="24"/>
          <w:szCs w:val="24"/>
        </w:rPr>
        <w:t xml:space="preserve">Previsão de não pagamento de salário </w:t>
      </w:r>
      <w:r w:rsidR="002108D3" w:rsidRPr="00BD3F63">
        <w:rPr>
          <w:i/>
          <w:sz w:val="24"/>
          <w:szCs w:val="24"/>
        </w:rPr>
        <w:t>in natura</w:t>
      </w:r>
      <w:r w:rsidR="002108D3" w:rsidRPr="00BD3F63">
        <w:rPr>
          <w:b/>
          <w:i/>
          <w:sz w:val="24"/>
          <w:szCs w:val="24"/>
        </w:rPr>
        <w:t xml:space="preserve">, horas </w:t>
      </w:r>
      <w:r w:rsidR="002108D3" w:rsidRPr="00BD3F63">
        <w:rPr>
          <w:i/>
          <w:sz w:val="24"/>
          <w:szCs w:val="24"/>
        </w:rPr>
        <w:t>in itinere</w:t>
      </w:r>
      <w:r w:rsidR="002108D3" w:rsidRPr="00BD3F63">
        <w:rPr>
          <w:b/>
          <w:i/>
          <w:sz w:val="24"/>
          <w:szCs w:val="24"/>
        </w:rPr>
        <w:t xml:space="preserve"> e horas paradas de qualquer natureza. Invalidade.</w:t>
      </w:r>
    </w:p>
    <w:p w:rsidR="002108D3" w:rsidRPr="00BD3F63" w:rsidRDefault="002108D3" w:rsidP="002108D3">
      <w:pPr>
        <w:pStyle w:val="Corpo"/>
        <w:spacing w:line="240" w:lineRule="auto"/>
        <w:ind w:firstLine="0"/>
        <w:rPr>
          <w:rFonts w:ascii="Courier" w:hAnsi="Courier" w:cs="Courier"/>
          <w:color w:val="auto"/>
          <w:lang w:val="pt-BR"/>
        </w:rPr>
      </w:pPr>
      <w:r w:rsidRPr="00BD3F63">
        <w:rPr>
          <w:rFonts w:ascii="Times New Roman" w:hAnsi="Times New Roman"/>
          <w:color w:val="auto"/>
          <w:lang w:val="pt-BR"/>
        </w:rPr>
        <w:t>A SDC, por unanimidade, deu provimento a recurso ordinário para excluir item de cláusula de convenção coletiva de trabalho que estipulava não ser devido ao trabalh</w:t>
      </w:r>
      <w:r w:rsidR="00BD3F63" w:rsidRPr="00BD3F63">
        <w:rPr>
          <w:rFonts w:ascii="Times New Roman" w:hAnsi="Times New Roman"/>
          <w:color w:val="auto"/>
          <w:lang w:val="pt-BR"/>
        </w:rPr>
        <w:t>ador</w:t>
      </w:r>
      <w:r w:rsidRPr="00BD3F63">
        <w:rPr>
          <w:rFonts w:ascii="Times New Roman" w:hAnsi="Times New Roman"/>
          <w:color w:val="auto"/>
          <w:lang w:val="pt-BR"/>
        </w:rPr>
        <w:t xml:space="preserve"> portuário avulso, em hipótese alguma, salário </w:t>
      </w:r>
      <w:r w:rsidRPr="00BD3F63">
        <w:rPr>
          <w:rFonts w:ascii="Times New Roman" w:hAnsi="Times New Roman"/>
          <w:i/>
          <w:color w:val="auto"/>
          <w:lang w:val="pt-BR"/>
        </w:rPr>
        <w:t>in natura</w:t>
      </w:r>
      <w:r w:rsidRPr="00BD3F63">
        <w:rPr>
          <w:rFonts w:ascii="Times New Roman" w:hAnsi="Times New Roman"/>
          <w:color w:val="auto"/>
          <w:lang w:val="pt-BR"/>
        </w:rPr>
        <w:t xml:space="preserve">, horas </w:t>
      </w:r>
      <w:r w:rsidRPr="00BD3F63">
        <w:rPr>
          <w:rFonts w:ascii="Times New Roman" w:hAnsi="Times New Roman"/>
          <w:i/>
          <w:color w:val="auto"/>
          <w:lang w:val="pt-BR"/>
        </w:rPr>
        <w:t>in itinere</w:t>
      </w:r>
      <w:r w:rsidRPr="00BD3F63">
        <w:rPr>
          <w:rFonts w:ascii="Times New Roman" w:hAnsi="Times New Roman"/>
          <w:color w:val="auto"/>
          <w:lang w:val="pt-BR"/>
        </w:rPr>
        <w:t xml:space="preserve"> e horas paradas de qualquer natureza. No caso, ressaltou-se que, não obstante a garantia prevista no art. 7º, XXVI, da CF, as partes não podem dispor livremente de </w:t>
      </w:r>
      <w:r w:rsidR="00BD3F63" w:rsidRPr="00BD3F63">
        <w:rPr>
          <w:rFonts w:ascii="Times New Roman" w:hAnsi="Times New Roman"/>
          <w:color w:val="auto"/>
          <w:lang w:val="pt-BR"/>
        </w:rPr>
        <w:t>direitos</w:t>
      </w:r>
      <w:r w:rsidRPr="00BD3F63">
        <w:rPr>
          <w:rFonts w:ascii="Times New Roman" w:hAnsi="Times New Roman"/>
          <w:color w:val="auto"/>
          <w:lang w:val="pt-BR"/>
        </w:rPr>
        <w:t xml:space="preserve"> regulados por normas </w:t>
      </w:r>
      <w:r w:rsidRPr="00BD3F63">
        <w:rPr>
          <w:rFonts w:ascii="Times New Roman" w:eastAsia="Calibri" w:hAnsi="Times New Roman" w:cs="Times New Roman"/>
          <w:color w:val="auto"/>
          <w:lang w:val="pt-BR" w:eastAsia="en-US"/>
        </w:rPr>
        <w:t>cogentes, como no caso das parcelas em questão, previstas nos arts. 4º, 58, §§ 2º e 3º, e 458 da CLT. De outra sorte, a própria lei referente à negociação coletiva da remuneração dos trabalhadores portuários avulsos (art. 43 da Lei nº 12.815/2013) garante a necessidade de se observar um valor mínimo, o que não ocorreu na hipótese.</w:t>
      </w:r>
      <w:r w:rsidRPr="00BD3F63">
        <w:rPr>
          <w:rFonts w:ascii="Times New Roman" w:hAnsi="Times New Roman"/>
          <w:color w:val="auto"/>
          <w:lang w:val="pt-BR"/>
        </w:rPr>
        <w:t xml:space="preserve"> </w:t>
      </w:r>
      <w:hyperlink r:id="rId9" w:history="1">
        <w:r w:rsidRPr="00F5217D">
          <w:rPr>
            <w:rStyle w:val="Hyperlink"/>
            <w:rFonts w:ascii="Times New Roman" w:hAnsi="Times New Roman" w:cs="Courier New"/>
            <w:lang w:val="pt-BR"/>
          </w:rPr>
          <w:t>TST-AIRO-RO-1100-40.2013.5.17.0000</w:t>
        </w:r>
      </w:hyperlink>
      <w:r w:rsidRPr="00BD3F63">
        <w:rPr>
          <w:rFonts w:ascii="Times New Roman" w:hAnsi="Times New Roman"/>
          <w:color w:val="auto"/>
          <w:u w:val="single"/>
          <w:lang w:val="pt-BR"/>
        </w:rPr>
        <w:t>, SDC, rel. Min. Walmir Oliveira da Costa, 8.9.2014</w:t>
      </w:r>
    </w:p>
    <w:p w:rsidR="002108D3" w:rsidRPr="002108D3" w:rsidRDefault="002108D3" w:rsidP="002108D3">
      <w:pPr>
        <w:jc w:val="both"/>
        <w:rPr>
          <w:b/>
          <w:i/>
          <w:color w:val="FF0000"/>
          <w:sz w:val="24"/>
          <w:szCs w:val="24"/>
        </w:rPr>
      </w:pPr>
    </w:p>
    <w:p w:rsidR="002108D3" w:rsidRPr="00C85DEA" w:rsidRDefault="002108D3" w:rsidP="002108D3">
      <w:pPr>
        <w:jc w:val="both"/>
        <w:rPr>
          <w:sz w:val="24"/>
          <w:szCs w:val="24"/>
        </w:rPr>
      </w:pPr>
      <w:r w:rsidRPr="00C85DEA">
        <w:rPr>
          <w:b/>
          <w:i/>
          <w:sz w:val="24"/>
          <w:szCs w:val="24"/>
        </w:rPr>
        <w:t>Terceirização. Atividade fim</w:t>
      </w:r>
      <w:r w:rsidR="00C85DEA">
        <w:rPr>
          <w:b/>
          <w:i/>
          <w:sz w:val="24"/>
          <w:szCs w:val="24"/>
        </w:rPr>
        <w:t xml:space="preserve">. Cláusula normativa proibitiva. </w:t>
      </w:r>
      <w:r w:rsidRPr="00C85DEA">
        <w:rPr>
          <w:b/>
          <w:i/>
          <w:sz w:val="24"/>
          <w:szCs w:val="24"/>
        </w:rPr>
        <w:t>Validade.</w:t>
      </w:r>
    </w:p>
    <w:p w:rsidR="002108D3" w:rsidRPr="00C85DEA" w:rsidRDefault="002108D3" w:rsidP="002108D3">
      <w:pPr>
        <w:jc w:val="both"/>
        <w:rPr>
          <w:sz w:val="24"/>
          <w:szCs w:val="24"/>
        </w:rPr>
      </w:pPr>
      <w:r w:rsidRPr="00C85DEA">
        <w:rPr>
          <w:sz w:val="24"/>
          <w:szCs w:val="24"/>
        </w:rPr>
        <w:t xml:space="preserve">É válida a cláusula de instrumento normativo que proíbe que a atividade fim da empresa seja objeto de terceirização, na medida em que promove o fortalecimento do sindicato da categoria profissional e resguarda o trabalhador dos efeitos prejudiciais inerentes a essa modalidade de contratação. </w:t>
      </w:r>
      <w:r w:rsidRPr="00C85DEA">
        <w:rPr>
          <w:rFonts w:ascii="Times" w:hAnsi="Times" w:cs="Times"/>
          <w:sz w:val="24"/>
          <w:szCs w:val="24"/>
        </w:rPr>
        <w:t>Com esse entendimento, a SDC, por maioria, conheceu de recurso ordinário e, no mérito, negou-lhe provimento</w:t>
      </w:r>
      <w:r w:rsidR="003833BC" w:rsidRPr="00C85DEA">
        <w:rPr>
          <w:rFonts w:ascii="Times" w:hAnsi="Times" w:cs="Times"/>
          <w:sz w:val="24"/>
          <w:szCs w:val="24"/>
        </w:rPr>
        <w:t>, no tópico</w:t>
      </w:r>
      <w:r w:rsidRPr="00C85DEA">
        <w:rPr>
          <w:rFonts w:ascii="Times" w:hAnsi="Times" w:cs="Times"/>
          <w:sz w:val="24"/>
          <w:szCs w:val="24"/>
        </w:rPr>
        <w:t xml:space="preserve">. Vencidos os Ministros Ives Gandra da Silva Martins Filho, Dora Maria da Costa e Walmir Oliveira da Costa. </w:t>
      </w:r>
      <w:hyperlink r:id="rId10" w:history="1">
        <w:r w:rsidRPr="00F5217D">
          <w:rPr>
            <w:rStyle w:val="Hyperlink"/>
            <w:sz w:val="24"/>
            <w:szCs w:val="24"/>
          </w:rPr>
          <w:t>TST-RO-11501-23.2010.5.02.0000</w:t>
        </w:r>
      </w:hyperlink>
      <w:r w:rsidRPr="00C85DEA">
        <w:rPr>
          <w:sz w:val="24"/>
          <w:szCs w:val="24"/>
          <w:u w:val="single"/>
        </w:rPr>
        <w:t>, SDC, rel. Min. Maurício Godinho Delgado, 8.9.2014</w:t>
      </w:r>
    </w:p>
    <w:p w:rsidR="002108D3" w:rsidRDefault="002108D3" w:rsidP="00F82D8F">
      <w:pPr>
        <w:pStyle w:val="Corpo"/>
        <w:spacing w:line="240" w:lineRule="auto"/>
        <w:ind w:firstLine="0"/>
        <w:rPr>
          <w:rFonts w:ascii="Times New Roman" w:hAnsi="Times New Roman" w:cs="Times New Roman"/>
          <w:b/>
          <w:bCs/>
          <w:shadow/>
          <w:color w:val="auto"/>
          <w:sz w:val="20"/>
          <w:szCs w:val="20"/>
          <w:lang w:val="pt-BR"/>
        </w:rPr>
      </w:pPr>
    </w:p>
    <w:p w:rsidR="002108D3" w:rsidRDefault="002108D3" w:rsidP="00F82D8F">
      <w:pPr>
        <w:pStyle w:val="Corpo"/>
        <w:spacing w:line="240" w:lineRule="auto"/>
        <w:ind w:firstLine="0"/>
        <w:rPr>
          <w:rFonts w:ascii="Times New Roman" w:hAnsi="Times New Roman" w:cs="Times New Roman"/>
          <w:b/>
          <w:bCs/>
          <w:shadow/>
          <w:color w:val="auto"/>
          <w:sz w:val="20"/>
          <w:szCs w:val="20"/>
          <w:lang w:val="pt-BR"/>
        </w:rPr>
      </w:pPr>
    </w:p>
    <w:p w:rsidR="002108D3" w:rsidRPr="002108D3" w:rsidRDefault="002108D3" w:rsidP="00F82D8F">
      <w:pPr>
        <w:pStyle w:val="Corpo"/>
        <w:spacing w:line="240" w:lineRule="auto"/>
        <w:ind w:firstLine="0"/>
        <w:rPr>
          <w:rFonts w:ascii="Times New Roman" w:hAnsi="Times New Roman" w:cs="Times New Roman"/>
          <w:b/>
          <w:bCs/>
          <w:shadow/>
          <w:color w:val="auto"/>
          <w:sz w:val="20"/>
          <w:szCs w:val="20"/>
          <w:lang w:val="pt-BR"/>
        </w:rPr>
      </w:pPr>
    </w:p>
    <w:p w:rsidR="00631F1C" w:rsidRPr="00971E07" w:rsidRDefault="00631F1C" w:rsidP="00631F1C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</w:pP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lastRenderedPageBreak/>
        <w:t>S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UBSEÇÃO I </w:t>
      </w: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ESPECIALIZADA EM DISSÍDIOS 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INDIVIDUAIS</w:t>
      </w:r>
    </w:p>
    <w:p w:rsidR="002108D3" w:rsidRDefault="002108D3" w:rsidP="002108D3">
      <w:pPr>
        <w:jc w:val="both"/>
        <w:rPr>
          <w:b/>
          <w:i/>
          <w:sz w:val="24"/>
          <w:szCs w:val="24"/>
        </w:rPr>
      </w:pPr>
    </w:p>
    <w:p w:rsidR="002108D3" w:rsidRPr="00895CC6" w:rsidRDefault="002108D3" w:rsidP="002108D3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Embargos encaminhados via fac-símile e por meio do sistema e-DOC. Erro de formatação. Responsabilidade exclusiva do usuário. Instrução Normativa nº 30/TST. </w:t>
      </w:r>
    </w:p>
    <w:p w:rsidR="002108D3" w:rsidRDefault="002108D3" w:rsidP="002108D3">
      <w:pPr>
        <w:pStyle w:val="Corpo"/>
        <w:spacing w:line="240" w:lineRule="auto"/>
        <w:ind w:firstLine="0"/>
        <w:rPr>
          <w:rFonts w:ascii="Times New Roman" w:eastAsia="Calibri" w:hAnsi="Times New Roman" w:cs="Times New Roman"/>
          <w:color w:val="auto"/>
          <w:lang w:val="pt-BR" w:eastAsia="en-US"/>
        </w:rPr>
      </w:pP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Não se admite a utilização de transmissão via fac-símile com a entrega dos originais pelo sistema e-DOC, por ausência de previsão legal. De outra sorte, falhas na formatação de petições enviadas por meio do referido sistema são de exclusiva responsabilidade do usuário, conforme a dicção do art. 11, IV, da </w:t>
      </w:r>
      <w:r w:rsidRPr="00E34EB2">
        <w:rPr>
          <w:rFonts w:ascii="Times New Roman" w:eastAsia="Calibri" w:hAnsi="Times New Roman" w:cs="Times New Roman"/>
          <w:lang w:val="pt-BR" w:eastAsia="en-US"/>
        </w:rPr>
        <w:t>Instrução Normativa nº 30/TST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. Com esses fundamentos, a SBDI-I, por maioria, negou provimento ao agravo para confirmar o não conhecimento dos embargos por irregularidade do ato processual. Na hipótese, a reclamada primeiramente encaminhou seu recurso de embargos por meio</w:t>
      </w:r>
      <w:r w:rsidRPr="003307DF">
        <w:rPr>
          <w:rFonts w:ascii="Times New Roman" w:eastAsia="Calibri" w:hAnsi="Times New Roman" w:cs="Times New Roman"/>
          <w:color w:val="auto"/>
          <w:lang w:val="pt-BR" w:eastAsia="en-US"/>
        </w:rPr>
        <w:t xml:space="preserve"> de fac-símile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, mas </w:t>
      </w:r>
      <w:r w:rsidRPr="003307DF">
        <w:rPr>
          <w:rFonts w:ascii="Times New Roman" w:eastAsia="Calibri" w:hAnsi="Times New Roman" w:cs="Times New Roman"/>
          <w:color w:val="auto"/>
          <w:lang w:val="pt-BR" w:eastAsia="en-US"/>
        </w:rPr>
        <w:t>de forma incompleta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. Em seguida, na mesma data, protocolou petição, por meio do sistema e-DOC, contendo</w:t>
      </w:r>
      <w:r w:rsidRPr="003307DF">
        <w:rPr>
          <w:rFonts w:ascii="Times New Roman" w:eastAsia="Calibri" w:hAnsi="Times New Roman" w:cs="Times New Roman"/>
          <w:color w:val="auto"/>
          <w:lang w:val="pt-BR" w:eastAsia="en-US"/>
        </w:rPr>
        <w:t xml:space="preserve"> falha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de formatação</w:t>
      </w:r>
      <w:r w:rsidRPr="003307DF">
        <w:rPr>
          <w:rFonts w:ascii="Times New Roman" w:eastAsia="Calibri" w:hAnsi="Times New Roman" w:cs="Times New Roman"/>
          <w:color w:val="auto"/>
          <w:lang w:val="pt-BR" w:eastAsia="en-US"/>
        </w:rPr>
        <w:t xml:space="preserve"> nas razões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do</w:t>
      </w:r>
      <w:r w:rsidRPr="003307DF">
        <w:rPr>
          <w:rFonts w:ascii="Times New Roman" w:eastAsia="Calibri" w:hAnsi="Times New Roman" w:cs="Times New Roman"/>
          <w:color w:val="auto"/>
          <w:lang w:val="pt-BR" w:eastAsia="en-US"/>
        </w:rPr>
        <w:t xml:space="preserve"> recurso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, inviabilizando a análise dos fundamentos, inclusive do aresto transcrito para confronto de teses</w:t>
      </w:r>
      <w:r w:rsidRPr="003307DF">
        <w:rPr>
          <w:rFonts w:ascii="Times New Roman" w:eastAsia="Calibri" w:hAnsi="Times New Roman" w:cs="Times New Roman"/>
          <w:color w:val="auto"/>
          <w:lang w:val="pt-BR" w:eastAsia="en-US"/>
        </w:rPr>
        <w:t xml:space="preserve">.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Por fim, protocolou uma</w:t>
      </w:r>
      <w:r w:rsidRPr="003307DF">
        <w:rPr>
          <w:rFonts w:ascii="Times New Roman" w:eastAsia="Calibri" w:hAnsi="Times New Roman" w:cs="Times New Roman"/>
          <w:color w:val="auto"/>
          <w:lang w:val="pt-BR" w:eastAsia="en-US"/>
        </w:rPr>
        <w:t xml:space="preserve"> terceira petição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para</w:t>
      </w:r>
      <w:r w:rsidRPr="003307DF">
        <w:rPr>
          <w:rFonts w:ascii="Times New Roman" w:eastAsia="Calibri" w:hAnsi="Times New Roman" w:cs="Times New Roman"/>
          <w:color w:val="auto"/>
          <w:lang w:val="pt-BR" w:eastAsia="en-US"/>
        </w:rPr>
        <w:t xml:space="preserve"> requer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er</w:t>
      </w:r>
      <w:r w:rsidRPr="003307DF">
        <w:rPr>
          <w:rFonts w:ascii="Times New Roman" w:eastAsia="Calibri" w:hAnsi="Times New Roman" w:cs="Times New Roman"/>
          <w:color w:val="auto"/>
          <w:lang w:val="pt-BR" w:eastAsia="en-US"/>
        </w:rPr>
        <w:t xml:space="preserve"> a desconsideração da peça enviada por fac-símile e o acolhimento da petição protocolizada pelo sistema virtual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. Ressalvou a fundamentação o Ministro </w:t>
      </w:r>
      <w:r w:rsidRPr="008713B3">
        <w:rPr>
          <w:rFonts w:ascii="Times New Roman" w:eastAsia="Calibri" w:hAnsi="Times New Roman" w:cs="Times New Roman"/>
          <w:color w:val="auto"/>
          <w:lang w:val="pt-BR" w:eastAsia="en-US"/>
        </w:rPr>
        <w:t>Márcio Eurico Vitral Amaro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. Vencidos os Ministros </w:t>
      </w:r>
      <w:r w:rsidRPr="008713B3">
        <w:rPr>
          <w:rFonts w:ascii="Times New Roman" w:eastAsia="Calibri" w:hAnsi="Times New Roman" w:cs="Times New Roman"/>
          <w:color w:val="auto"/>
          <w:lang w:val="pt-BR" w:eastAsia="en-US"/>
        </w:rPr>
        <w:t>Alexandre de Souza Agra Belmonte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, </w:t>
      </w:r>
      <w:r w:rsidRPr="008713B3">
        <w:rPr>
          <w:rFonts w:ascii="Times New Roman" w:eastAsia="Calibri" w:hAnsi="Times New Roman" w:cs="Times New Roman"/>
          <w:color w:val="auto"/>
          <w:lang w:val="pt-BR" w:eastAsia="en-US"/>
        </w:rPr>
        <w:t>João Oreste Dalazen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, </w:t>
      </w:r>
      <w:r w:rsidRPr="008713B3">
        <w:rPr>
          <w:rFonts w:ascii="Times New Roman" w:eastAsia="Calibri" w:hAnsi="Times New Roman" w:cs="Times New Roman"/>
          <w:color w:val="auto"/>
          <w:lang w:val="pt-BR" w:eastAsia="en-US"/>
        </w:rPr>
        <w:t>Brito Pereira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, </w:t>
      </w:r>
      <w:r w:rsidRPr="008713B3">
        <w:rPr>
          <w:rFonts w:ascii="Times New Roman" w:eastAsia="Calibri" w:hAnsi="Times New Roman" w:cs="Times New Roman"/>
          <w:color w:val="auto"/>
          <w:lang w:val="pt-BR" w:eastAsia="en-US"/>
        </w:rPr>
        <w:t>Luiz Philippe Vieira de Mello Filho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e </w:t>
      </w:r>
      <w:r w:rsidRPr="008713B3">
        <w:rPr>
          <w:rFonts w:ascii="Times New Roman" w:eastAsia="Calibri" w:hAnsi="Times New Roman" w:cs="Times New Roman"/>
          <w:color w:val="auto"/>
          <w:lang w:val="pt-BR" w:eastAsia="en-US"/>
        </w:rPr>
        <w:t>Guilherme Augusto Caputo Bastos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. </w:t>
      </w:r>
      <w:hyperlink r:id="rId11" w:history="1">
        <w:r w:rsidRPr="003833BC">
          <w:rPr>
            <w:rStyle w:val="Hyperlink"/>
            <w:rFonts w:ascii="Times New Roman" w:eastAsia="Calibri" w:hAnsi="Times New Roman"/>
            <w:lang w:val="pt-BR" w:eastAsia="en-US"/>
          </w:rPr>
          <w:t>TST-Ag-E-RR-15500-45.2008.5.20.0002</w:t>
        </w:r>
      </w:hyperlink>
      <w:r w:rsidRPr="00261914">
        <w:rPr>
          <w:rFonts w:ascii="Times New Roman" w:eastAsia="Calibri" w:hAnsi="Times New Roman" w:cs="Times New Roman"/>
          <w:color w:val="auto"/>
          <w:u w:val="single"/>
          <w:lang w:val="pt-BR" w:eastAsia="en-US"/>
        </w:rPr>
        <w:t>, SBDI-I, rel. Min. Delaíde Miranda Arantes, 28.8.2014</w:t>
      </w:r>
    </w:p>
    <w:p w:rsidR="002108D3" w:rsidRDefault="002108D3" w:rsidP="002108D3">
      <w:pPr>
        <w:jc w:val="both"/>
        <w:rPr>
          <w:b/>
          <w:i/>
          <w:sz w:val="24"/>
          <w:szCs w:val="24"/>
        </w:rPr>
      </w:pPr>
    </w:p>
    <w:p w:rsidR="002108D3" w:rsidRPr="00081E8E" w:rsidRDefault="002108D3" w:rsidP="002108D3">
      <w:pPr>
        <w:jc w:val="both"/>
        <w:rPr>
          <w:b/>
          <w:i/>
          <w:sz w:val="24"/>
          <w:szCs w:val="24"/>
        </w:rPr>
      </w:pPr>
      <w:r w:rsidRPr="00081E8E">
        <w:rPr>
          <w:b/>
          <w:i/>
          <w:sz w:val="24"/>
          <w:szCs w:val="24"/>
        </w:rPr>
        <w:t xml:space="preserve">Acordos coletivos e convenções coletivas de trabalho. Ministério do Trabalho e Emprego. Depósito em papel. Recusa. Implementação do “Sistema Mediador”. Portaria nº 282 do MTE. Arts. 613, parágrafo único, e 614 da CLT. </w:t>
      </w:r>
    </w:p>
    <w:p w:rsidR="002108D3" w:rsidRPr="00081E8E" w:rsidRDefault="002108D3" w:rsidP="002108D3">
      <w:pPr>
        <w:jc w:val="both"/>
        <w:rPr>
          <w:sz w:val="24"/>
          <w:szCs w:val="24"/>
        </w:rPr>
      </w:pPr>
      <w:r w:rsidRPr="00081E8E">
        <w:rPr>
          <w:sz w:val="24"/>
          <w:szCs w:val="24"/>
        </w:rPr>
        <w:t xml:space="preserve">A recusa de órgão do Ministério do Trabalho e Emprego (MTE) em receber, a partir de 1º/1/2009, o depósito em papel de acordos coletivos e convenções coletivas de trabalho, em razão da implementação do chamado “Sistema Mediador” </w:t>
      </w:r>
      <w:r w:rsidR="00C40420" w:rsidRPr="00081E8E">
        <w:rPr>
          <w:sz w:val="24"/>
          <w:szCs w:val="24"/>
        </w:rPr>
        <w:t>–</w:t>
      </w:r>
      <w:r w:rsidRPr="00081E8E">
        <w:rPr>
          <w:sz w:val="24"/>
          <w:szCs w:val="24"/>
        </w:rPr>
        <w:t xml:space="preserve"> programa criado pela Portaria nº 282/M</w:t>
      </w:r>
      <w:r w:rsidR="00C40420">
        <w:rPr>
          <w:sz w:val="24"/>
          <w:szCs w:val="24"/>
        </w:rPr>
        <w:t>TE</w:t>
      </w:r>
      <w:r w:rsidRPr="00081E8E">
        <w:rPr>
          <w:sz w:val="24"/>
          <w:szCs w:val="24"/>
        </w:rPr>
        <w:t xml:space="preserve">, cujo objetivo é a elaboração, transmissão, registro e arquivo, via eletrônica, de instrumentos coletivos de trabalho – não viola direito líquido e certo do sindicato impetrante. No caso, registrou-se que a Secretaria das Relações de Trabalho tem autorização para implantar sistema para a recepção dos instrumentos coletivos, nos termos do art. 913 da CLT. Ademais, não há falar em ofensa ao parágrafo único do art. 613 da CLT, pois, atualmente, a forma escrita dos documentos não mais se restringe ao papel. De outra sorte, o “Sistema Mediador” não inviabiliza a vigência da norma coletiva a partir do terceiro dia após o requerimento do registro, conforme determinado no art. 614, § 1º, da CLT, uma vez que a Instrução Normativa nº 6/07, da Secretaria de Relações do Trabalho, ao regulamentar o referido sistema, não altera o início da vigência das normas coletivas, mas apenas estabelece que a norma surtirá seus efeitos no prazo de vigência, desde que efetuadas as retificações necessárias até o término do referido prazo. Com esse entendimento, a SBDI-I, por unanimidade, conheceu dos embargos interpostos pela União e, no mérito, por maioria, deu-lhes provimento para restabelecer o acórdão do Regional, que denegou a segurança. Vencidos os Ministros Aloysio Corrêa da Veiga, relator, Lelio Bentes Corrêa, Luiz Philippe Vieira de Mello Filho, Márcio Eurico Vitral Amaro e José Roberto Freire Pimenta, que negavam provimento ao recurso sob o fundamento de que a obrigatoriedade de utilização do “Sistema Mediador” viola os arts. 7º, XXVI, e 8º, I, da CF e os arts. 611 e 614 da CLT, devendo ser convalidado o ato de depósito do instrumento coletivo efetuado pelo sindicato impetrante perante a autoridade administrativa do SRTE/MTE, para efeitos de registro e arquivo. </w:t>
      </w:r>
      <w:hyperlink r:id="rId12" w:history="1">
        <w:r w:rsidRPr="003833BC">
          <w:rPr>
            <w:rStyle w:val="Hyperlink"/>
            <w:sz w:val="24"/>
            <w:szCs w:val="24"/>
          </w:rPr>
          <w:t>TST-E-ED-RR-4042000-40.2009.5.09.0006</w:t>
        </w:r>
      </w:hyperlink>
      <w:r w:rsidRPr="00081E8E">
        <w:rPr>
          <w:sz w:val="24"/>
          <w:szCs w:val="24"/>
          <w:u w:val="single"/>
        </w:rPr>
        <w:t>, SBDI-I, rel. Min. Aloysio Corrêa da Veiga, red. p/ acórdão Min. João Oreste Dalazen, 4.9.2014</w:t>
      </w:r>
    </w:p>
    <w:p w:rsidR="002108D3" w:rsidRDefault="002108D3" w:rsidP="002108D3">
      <w:pPr>
        <w:jc w:val="both"/>
        <w:rPr>
          <w:b/>
          <w:bCs/>
          <w:i/>
          <w:sz w:val="24"/>
          <w:szCs w:val="24"/>
        </w:rPr>
      </w:pPr>
    </w:p>
    <w:p w:rsidR="002108D3" w:rsidRPr="000F0AC8" w:rsidRDefault="002108D3" w:rsidP="002108D3">
      <w:pPr>
        <w:jc w:val="both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Professor. Intervalo para recreio. Tempo </w:t>
      </w:r>
      <w:r w:rsidR="00A42A1E">
        <w:rPr>
          <w:b/>
          <w:bCs/>
          <w:i/>
          <w:sz w:val="24"/>
          <w:szCs w:val="24"/>
        </w:rPr>
        <w:t>à</w:t>
      </w:r>
      <w:r>
        <w:rPr>
          <w:b/>
          <w:bCs/>
          <w:i/>
          <w:sz w:val="24"/>
          <w:szCs w:val="24"/>
        </w:rPr>
        <w:t xml:space="preserve"> disposição do empregador.</w:t>
      </w:r>
    </w:p>
    <w:p w:rsidR="002108D3" w:rsidRPr="005203F5" w:rsidRDefault="002108D3" w:rsidP="002108D3">
      <w:pPr>
        <w:pStyle w:val="Corpo"/>
        <w:spacing w:line="240" w:lineRule="auto"/>
        <w:ind w:firstLine="0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O intervalo entre as aulas, conhecido como recreio, é considerado tempo à disposição do empregador, nos termos do art. 4º da CLT, pois o professor permanece no estabelecimento de ensino, aguardando ou executando ordens. </w:t>
      </w:r>
      <w:r w:rsidRPr="005203F5">
        <w:rPr>
          <w:rFonts w:ascii="Times New Roman" w:hAnsi="Times New Roman" w:cs="Times New Roman"/>
          <w:lang w:val="pt-BR"/>
        </w:rPr>
        <w:t xml:space="preserve">Com esse entendimento, </w:t>
      </w:r>
      <w:r>
        <w:rPr>
          <w:rFonts w:ascii="Times New Roman" w:hAnsi="Times New Roman" w:cs="Times New Roman"/>
          <w:lang w:val="pt-BR"/>
        </w:rPr>
        <w:t>a</w:t>
      </w:r>
      <w:r w:rsidRPr="005203F5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SBDI-I</w:t>
      </w:r>
      <w:r w:rsidRPr="005203F5">
        <w:rPr>
          <w:rFonts w:ascii="Times New Roman" w:hAnsi="Times New Roman" w:cs="Times New Roman"/>
          <w:lang w:val="pt-BR"/>
        </w:rPr>
        <w:t xml:space="preserve">, à unanimidade, conheceu </w:t>
      </w:r>
      <w:r>
        <w:rPr>
          <w:rFonts w:ascii="Times New Roman" w:hAnsi="Times New Roman" w:cs="Times New Roman"/>
          <w:lang w:val="pt-BR"/>
        </w:rPr>
        <w:t xml:space="preserve">dos embargos da reclamante, por divergência jurisprudencial, </w:t>
      </w:r>
      <w:r w:rsidRPr="005203F5">
        <w:rPr>
          <w:rFonts w:ascii="Times New Roman" w:hAnsi="Times New Roman" w:cs="Times New Roman"/>
          <w:lang w:val="pt-BR"/>
        </w:rPr>
        <w:t>e</w:t>
      </w:r>
      <w:r>
        <w:rPr>
          <w:rFonts w:ascii="Times New Roman" w:hAnsi="Times New Roman" w:cs="Times New Roman"/>
          <w:lang w:val="pt-BR"/>
        </w:rPr>
        <w:t>,</w:t>
      </w:r>
      <w:r w:rsidRPr="005203F5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no mérito, deu-lhes provimento</w:t>
      </w:r>
      <w:r w:rsidRPr="005203F5">
        <w:rPr>
          <w:rFonts w:ascii="Times New Roman" w:hAnsi="Times New Roman" w:cs="Times New Roman"/>
          <w:lang w:val="pt-BR"/>
        </w:rPr>
        <w:t xml:space="preserve"> para </w:t>
      </w:r>
      <w:r>
        <w:rPr>
          <w:rFonts w:ascii="Times New Roman" w:hAnsi="Times New Roman" w:cs="Times New Roman"/>
          <w:lang w:val="pt-BR"/>
        </w:rPr>
        <w:t xml:space="preserve">julgar procedente o item “g” da petição inicial, respeitadas as aulas efetivamente </w:t>
      </w:r>
      <w:r>
        <w:rPr>
          <w:rFonts w:ascii="Times New Roman" w:hAnsi="Times New Roman" w:cs="Times New Roman"/>
          <w:lang w:val="pt-BR"/>
        </w:rPr>
        <w:lastRenderedPageBreak/>
        <w:t xml:space="preserve">ministradas e a prescrição quinquenal pronunciada na sentença. Ressalvou a fundamentação o Ministro Alexandre Agra Belmonte. </w:t>
      </w:r>
      <w:hyperlink r:id="rId13" w:history="1">
        <w:r w:rsidRPr="003833BC">
          <w:rPr>
            <w:rStyle w:val="Hyperlink"/>
            <w:rFonts w:ascii="Times New Roman" w:hAnsi="Times New Roman"/>
            <w:lang w:val="pt-BR"/>
          </w:rPr>
          <w:t>TST-E-ED-RR-49900-47.2006.5.09.0007</w:t>
        </w:r>
      </w:hyperlink>
      <w:r>
        <w:rPr>
          <w:rFonts w:ascii="Times New Roman" w:hAnsi="Times New Roman" w:cs="Times New Roman"/>
          <w:u w:val="single"/>
          <w:lang w:val="pt-BR"/>
        </w:rPr>
        <w:t>, SBDI-I,</w:t>
      </w:r>
      <w:r w:rsidRPr="005203F5">
        <w:rPr>
          <w:rFonts w:ascii="Times New Roman" w:hAnsi="Times New Roman" w:cs="Times New Roman"/>
          <w:u w:val="single"/>
          <w:lang w:val="pt-BR"/>
        </w:rPr>
        <w:t xml:space="preserve"> </w:t>
      </w:r>
      <w:r>
        <w:rPr>
          <w:rFonts w:ascii="Times New Roman" w:hAnsi="Times New Roman" w:cs="Times New Roman"/>
          <w:u w:val="single"/>
          <w:lang w:val="pt-BR"/>
        </w:rPr>
        <w:t>r</w:t>
      </w:r>
      <w:r w:rsidRPr="005203F5">
        <w:rPr>
          <w:rFonts w:ascii="Times New Roman" w:hAnsi="Times New Roman" w:cs="Times New Roman"/>
          <w:u w:val="single"/>
          <w:lang w:val="pt-BR"/>
        </w:rPr>
        <w:t>el.</w:t>
      </w:r>
      <w:r>
        <w:rPr>
          <w:rFonts w:ascii="Times New Roman" w:hAnsi="Times New Roman" w:cs="Times New Roman"/>
          <w:u w:val="single"/>
          <w:lang w:val="pt-BR"/>
        </w:rPr>
        <w:t xml:space="preserve"> Min.</w:t>
      </w:r>
      <w:r w:rsidRPr="005203F5">
        <w:rPr>
          <w:rFonts w:ascii="Times New Roman" w:hAnsi="Times New Roman" w:cs="Times New Roman"/>
          <w:u w:val="single"/>
          <w:lang w:val="pt-BR"/>
        </w:rPr>
        <w:t xml:space="preserve"> </w:t>
      </w:r>
      <w:r>
        <w:rPr>
          <w:rFonts w:ascii="Times New Roman" w:hAnsi="Times New Roman" w:cs="Times New Roman"/>
          <w:u w:val="single"/>
          <w:lang w:val="pt-BR"/>
        </w:rPr>
        <w:t>Márcio Eurico Vitral Amaro, 4.</w:t>
      </w:r>
      <w:r w:rsidRPr="005203F5">
        <w:rPr>
          <w:rFonts w:ascii="Times New Roman" w:hAnsi="Times New Roman" w:cs="Times New Roman"/>
          <w:u w:val="single"/>
          <w:lang w:val="pt-BR"/>
        </w:rPr>
        <w:t>9.2014</w:t>
      </w:r>
    </w:p>
    <w:p w:rsidR="002108D3" w:rsidRDefault="002108D3" w:rsidP="002108D3">
      <w:pPr>
        <w:jc w:val="both"/>
        <w:rPr>
          <w:b/>
          <w:bCs/>
          <w:i/>
          <w:sz w:val="24"/>
          <w:szCs w:val="24"/>
        </w:rPr>
      </w:pPr>
    </w:p>
    <w:p w:rsidR="002108D3" w:rsidRPr="000F0AC8" w:rsidRDefault="002108D3" w:rsidP="002108D3">
      <w:pPr>
        <w:jc w:val="both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Município de Colatina/ES. Plano de cargos e salários instituído mediante lei municipal. Aplicação limitada aos professores admitidos após a sua vigência. Pretensão de aplicação dos benefícios aos professores admitidos antes da introdução do novo PCS. Princípio da isonomia. Prescrição parcial. Inaplicabilidade das Súmulas nº 275, II, e 294 do TST. </w:t>
      </w:r>
    </w:p>
    <w:p w:rsidR="002108D3" w:rsidRDefault="002108D3" w:rsidP="002108D3">
      <w:pPr>
        <w:pStyle w:val="Corpo"/>
        <w:spacing w:line="240" w:lineRule="auto"/>
        <w:ind w:firstLine="0"/>
        <w:rPr>
          <w:rFonts w:ascii="Times New Roman" w:hAnsi="Times New Roman" w:cs="Times New Roman"/>
          <w:u w:val="single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Não se aplica a prescrição total, de que tratam as Súmulas nº 275, II, e 294 do TST, na hipótese em que, com fundamento no princípio da isonomia, professores pleiteiam enquadramento, e respectivas diferenças salariais, decorrente da implantação do novo plano de cargos e salários, instituído por lei municipal, a qual limitou a sua aplicação àqueles admitidos após seu advento. O caso dos autos diz respeito à Lei nº 4.414/98 do Município de Colatina/ES que, além de estabelecer normas gerais e especiais alusivas ao magistério, instituiu o Plano de Cargos e Salários, criando um quadro de pessoal permanente para aqueles que ingressassem na carreira após seu advento, assegurando a esses novos professores promoções e ascensão funcional, e mantendo o quadro de pessoal anterior, que seria extinto na medida em que vagassem os cargos. Entendeu-se que, estando em discussão o direito dos empregados a condições mais favoráveis consagradas em norma superveniente, resta inafastável a conclusão de que a pretensão se origina de suposta violação que se renova mês a mês, sempre que recusada sua aplicação. Ademais, a controvérsia não gira em torno de alteração do pactuado no contrato de trabalho, mas, sim, de recusa do empregador de aplicar as regras por ele instituídas. </w:t>
      </w:r>
      <w:r w:rsidRPr="005203F5">
        <w:rPr>
          <w:rFonts w:ascii="Times New Roman" w:hAnsi="Times New Roman" w:cs="Times New Roman"/>
          <w:lang w:val="pt-BR"/>
        </w:rPr>
        <w:t>Com esse entendimento,</w:t>
      </w:r>
      <w:r>
        <w:rPr>
          <w:rFonts w:ascii="Times New Roman" w:hAnsi="Times New Roman" w:cs="Times New Roman"/>
          <w:lang w:val="pt-BR"/>
        </w:rPr>
        <w:t xml:space="preserve"> a SBDI-I, conheceu dos embargos interpostos pela reclamante, por divergência jurisprudencial, e, no mérito, por maioria, deu-lhes provimento para, afastada a prescrição total decretada, restabelecer a decisão proferida pelo Tribunal Regional. Vencidos os Ministros Renato de Lacerda Paiva e Ives Gandra Martins Filho. </w:t>
      </w:r>
      <w:hyperlink r:id="rId14" w:history="1">
        <w:r w:rsidRPr="003833BC">
          <w:rPr>
            <w:rStyle w:val="Hyperlink"/>
            <w:rFonts w:ascii="Times New Roman" w:hAnsi="Times New Roman"/>
            <w:lang w:val="pt-BR"/>
          </w:rPr>
          <w:t>TST-E-ED-42400-93.2003.5.17.0141</w:t>
        </w:r>
      </w:hyperlink>
      <w:r>
        <w:rPr>
          <w:rFonts w:ascii="Times New Roman" w:hAnsi="Times New Roman" w:cs="Times New Roman"/>
          <w:u w:val="single"/>
          <w:lang w:val="pt-BR"/>
        </w:rPr>
        <w:t>, SBDI-I, r</w:t>
      </w:r>
      <w:r w:rsidRPr="005203F5">
        <w:rPr>
          <w:rFonts w:ascii="Times New Roman" w:hAnsi="Times New Roman" w:cs="Times New Roman"/>
          <w:u w:val="single"/>
          <w:lang w:val="pt-BR"/>
        </w:rPr>
        <w:t>el.</w:t>
      </w:r>
      <w:r>
        <w:rPr>
          <w:rFonts w:ascii="Times New Roman" w:hAnsi="Times New Roman" w:cs="Times New Roman"/>
          <w:u w:val="single"/>
          <w:lang w:val="pt-BR"/>
        </w:rPr>
        <w:t xml:space="preserve"> Min.</w:t>
      </w:r>
      <w:r w:rsidRPr="005203F5">
        <w:rPr>
          <w:rFonts w:ascii="Times New Roman" w:hAnsi="Times New Roman" w:cs="Times New Roman"/>
          <w:u w:val="single"/>
          <w:lang w:val="pt-BR"/>
        </w:rPr>
        <w:t xml:space="preserve"> </w:t>
      </w:r>
      <w:r>
        <w:rPr>
          <w:rFonts w:ascii="Times New Roman" w:hAnsi="Times New Roman" w:cs="Times New Roman"/>
          <w:u w:val="single"/>
          <w:lang w:val="pt-BR"/>
        </w:rPr>
        <w:t>Lelio Bentes Corrêa, 4.</w:t>
      </w:r>
      <w:r w:rsidRPr="005203F5">
        <w:rPr>
          <w:rFonts w:ascii="Times New Roman" w:hAnsi="Times New Roman" w:cs="Times New Roman"/>
          <w:u w:val="single"/>
          <w:lang w:val="pt-BR"/>
        </w:rPr>
        <w:t>9.2014</w:t>
      </w:r>
    </w:p>
    <w:p w:rsidR="002108D3" w:rsidRDefault="002108D3" w:rsidP="002108D3">
      <w:pPr>
        <w:pStyle w:val="Corpo"/>
        <w:spacing w:line="240" w:lineRule="auto"/>
        <w:ind w:firstLine="0"/>
        <w:rPr>
          <w:rFonts w:ascii="Times New Roman" w:hAnsi="Times New Roman" w:cs="Times New Roman"/>
          <w:u w:val="single"/>
          <w:lang w:val="pt-BR"/>
        </w:rPr>
      </w:pPr>
    </w:p>
    <w:p w:rsidR="002108D3" w:rsidRDefault="002108D3" w:rsidP="002108D3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Recurso. Conhecimento. Contrariedade a orientação jurisprudencial cancelada à época da interposição do apelo. Possibilidade. Aglutinação de verbetes ou conversão em súmula. Manutenção da posição jurisprudencial. </w:t>
      </w:r>
    </w:p>
    <w:p w:rsidR="002108D3" w:rsidRPr="00D315BB" w:rsidRDefault="002108D3" w:rsidP="002108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SBDI-I, por maioria, fixou a tese de que é possível o conhecimento de recurso em que se invoca contrariedade a orientação jurisprudencial já cancelada à época da interposição do apelo, desde que não tenha havido alteração da posição jurisprudencial, mas apenas aglutinação dos verbetes indicados ou conversão em súmula, preservando-se a mesma tese jurídica. Vencidos os Ministros Augusto César Leite de Carvalho, relator, Lelio Bentes Corrêa, Guilherme Augusto Caputo Bastos e Ives Gandra Martins Filho. Não obstante esse entendimento, a Subseção, por unanimidade, negou provimento ao agravo regimental, por não vislumbrar, no caso concreto, contrariedade às Orientações Jurisprudenciais nºs 307, 342, I, 354 e 380 da SBDI-I, as quais foram aglutinadas ou convertidas em itens da Súmula nº 437 do TST meses antes da interposição do agravo regimental e dos embargos. </w:t>
      </w:r>
      <w:hyperlink r:id="rId15" w:history="1">
        <w:r w:rsidRPr="003833BC">
          <w:rPr>
            <w:rStyle w:val="Hyperlink"/>
            <w:sz w:val="24"/>
            <w:szCs w:val="24"/>
          </w:rPr>
          <w:t>TST-AgR-E-ED-ARR-190500-68.2009.5.09.0022</w:t>
        </w:r>
      </w:hyperlink>
      <w:r w:rsidRPr="00D315BB">
        <w:rPr>
          <w:sz w:val="24"/>
          <w:szCs w:val="24"/>
          <w:u w:val="single"/>
        </w:rPr>
        <w:t xml:space="preserve">, SBDI-I, rel. Min. Augusto César Leite de Carvalho, </w:t>
      </w:r>
      <w:r>
        <w:rPr>
          <w:sz w:val="24"/>
          <w:szCs w:val="24"/>
          <w:u w:val="single"/>
        </w:rPr>
        <w:t>4.</w:t>
      </w:r>
      <w:r w:rsidRPr="00D315BB">
        <w:rPr>
          <w:sz w:val="24"/>
          <w:szCs w:val="24"/>
          <w:u w:val="single"/>
        </w:rPr>
        <w:t>9.2014</w:t>
      </w:r>
    </w:p>
    <w:p w:rsidR="002108D3" w:rsidRDefault="002108D3" w:rsidP="002108D3">
      <w:pPr>
        <w:pStyle w:val="Corpo"/>
        <w:spacing w:line="240" w:lineRule="auto"/>
        <w:ind w:firstLine="0"/>
        <w:rPr>
          <w:rFonts w:ascii="Times New Roman" w:hAnsi="Times New Roman" w:cs="Times New Roman"/>
          <w:u w:val="single"/>
          <w:lang w:val="pt-BR"/>
        </w:rPr>
      </w:pPr>
    </w:p>
    <w:p w:rsidR="002108D3" w:rsidRPr="00C928E7" w:rsidRDefault="002108D3" w:rsidP="002108D3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</w:t>
      </w:r>
      <w:r w:rsidRPr="00AE2D80">
        <w:rPr>
          <w:b/>
          <w:i/>
          <w:sz w:val="24"/>
          <w:szCs w:val="24"/>
        </w:rPr>
        <w:t>ito sumaríssimo</w:t>
      </w:r>
      <w:r>
        <w:rPr>
          <w:b/>
          <w:i/>
          <w:sz w:val="24"/>
          <w:szCs w:val="24"/>
        </w:rPr>
        <w:t>. D</w:t>
      </w:r>
      <w:r w:rsidRPr="00AE2D80">
        <w:rPr>
          <w:b/>
          <w:i/>
          <w:sz w:val="24"/>
          <w:szCs w:val="24"/>
        </w:rPr>
        <w:t xml:space="preserve">ecisão de </w:t>
      </w:r>
      <w:r>
        <w:rPr>
          <w:b/>
          <w:i/>
          <w:sz w:val="24"/>
          <w:szCs w:val="24"/>
        </w:rPr>
        <w:t>T</w:t>
      </w:r>
      <w:r w:rsidRPr="00AE2D80">
        <w:rPr>
          <w:b/>
          <w:i/>
          <w:sz w:val="24"/>
          <w:szCs w:val="24"/>
        </w:rPr>
        <w:t xml:space="preserve">urma que conheceu do recurso </w:t>
      </w:r>
      <w:r>
        <w:rPr>
          <w:b/>
          <w:i/>
          <w:sz w:val="24"/>
          <w:szCs w:val="24"/>
        </w:rPr>
        <w:t xml:space="preserve">de revista por contrariedade </w:t>
      </w:r>
      <w:r w:rsidR="00586E13">
        <w:rPr>
          <w:b/>
          <w:i/>
          <w:sz w:val="24"/>
          <w:szCs w:val="24"/>
        </w:rPr>
        <w:t>à</w:t>
      </w:r>
      <w:r>
        <w:rPr>
          <w:b/>
          <w:i/>
          <w:sz w:val="24"/>
          <w:szCs w:val="24"/>
        </w:rPr>
        <w:t xml:space="preserve"> Orientação J</w:t>
      </w:r>
      <w:r w:rsidRPr="00AE2D80">
        <w:rPr>
          <w:b/>
          <w:i/>
          <w:sz w:val="24"/>
          <w:szCs w:val="24"/>
        </w:rPr>
        <w:t xml:space="preserve">urisprudencial nº 191 da </w:t>
      </w:r>
      <w:r>
        <w:rPr>
          <w:b/>
          <w:i/>
          <w:sz w:val="24"/>
          <w:szCs w:val="24"/>
        </w:rPr>
        <w:t>SBDI-I. C</w:t>
      </w:r>
      <w:r w:rsidRPr="00AE2D80">
        <w:rPr>
          <w:b/>
          <w:i/>
          <w:sz w:val="24"/>
          <w:szCs w:val="24"/>
        </w:rPr>
        <w:t xml:space="preserve">onhecimento dos embargos por </w:t>
      </w:r>
      <w:r>
        <w:rPr>
          <w:b/>
          <w:i/>
          <w:sz w:val="24"/>
          <w:szCs w:val="24"/>
        </w:rPr>
        <w:t xml:space="preserve">contrariedade </w:t>
      </w:r>
      <w:r w:rsidR="00586E13">
        <w:rPr>
          <w:b/>
          <w:i/>
          <w:sz w:val="24"/>
          <w:szCs w:val="24"/>
        </w:rPr>
        <w:t>à</w:t>
      </w:r>
      <w:r>
        <w:rPr>
          <w:b/>
          <w:i/>
          <w:sz w:val="24"/>
          <w:szCs w:val="24"/>
        </w:rPr>
        <w:t xml:space="preserve"> Orientação J</w:t>
      </w:r>
      <w:r w:rsidRPr="00AE2D80">
        <w:rPr>
          <w:b/>
          <w:i/>
          <w:sz w:val="24"/>
          <w:szCs w:val="24"/>
        </w:rPr>
        <w:t>u</w:t>
      </w:r>
      <w:r>
        <w:rPr>
          <w:b/>
          <w:i/>
          <w:sz w:val="24"/>
          <w:szCs w:val="24"/>
        </w:rPr>
        <w:t xml:space="preserve">risprudencial nº 352 da SBDI-I posteriormente </w:t>
      </w:r>
      <w:r w:rsidRPr="00AE2D80">
        <w:rPr>
          <w:b/>
          <w:i/>
          <w:sz w:val="24"/>
          <w:szCs w:val="24"/>
        </w:rPr>
        <w:t xml:space="preserve">convertida </w:t>
      </w:r>
      <w:r>
        <w:rPr>
          <w:b/>
          <w:i/>
          <w:sz w:val="24"/>
          <w:szCs w:val="24"/>
        </w:rPr>
        <w:t>na Súmula nº 442 do TST. Possibilidade.</w:t>
      </w:r>
    </w:p>
    <w:p w:rsidR="002108D3" w:rsidRPr="002736F7" w:rsidRDefault="002108D3" w:rsidP="002108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Não obstante, em causas sujeitas ao procedimento sumaríssimo, o conhecimento de embargos esteja autorizado apenas quando </w:t>
      </w:r>
      <w:r w:rsidRPr="001D7CDA">
        <w:rPr>
          <w:sz w:val="24"/>
          <w:szCs w:val="24"/>
        </w:rPr>
        <w:t>em discussão matéria de cunho constitucional ou na hipótese de contrariedade a súmula d</w:t>
      </w:r>
      <w:r>
        <w:rPr>
          <w:sz w:val="24"/>
          <w:szCs w:val="24"/>
        </w:rPr>
        <w:t>o TST (Súmula nº 458 do TST, antiga Orientação Jurisprudencial nº 405 da SBDI-I), admite-se, excepcionalmente,</w:t>
      </w:r>
      <w:r w:rsidRPr="00AE2D80">
        <w:t xml:space="preserve"> </w:t>
      </w:r>
      <w:r w:rsidRPr="00AE2D80">
        <w:rPr>
          <w:sz w:val="24"/>
          <w:szCs w:val="24"/>
        </w:rPr>
        <w:t>o conhecimento do</w:t>
      </w:r>
      <w:r>
        <w:rPr>
          <w:sz w:val="24"/>
          <w:szCs w:val="24"/>
        </w:rPr>
        <w:t xml:space="preserve"> apelo </w:t>
      </w:r>
      <w:r w:rsidRPr="00AE2D80">
        <w:rPr>
          <w:sz w:val="24"/>
          <w:szCs w:val="24"/>
        </w:rPr>
        <w:t xml:space="preserve">por contrariedade </w:t>
      </w:r>
      <w:r>
        <w:rPr>
          <w:sz w:val="24"/>
          <w:szCs w:val="24"/>
        </w:rPr>
        <w:t>a</w:t>
      </w:r>
      <w:r w:rsidRPr="00AE2D80">
        <w:rPr>
          <w:sz w:val="24"/>
          <w:szCs w:val="24"/>
        </w:rPr>
        <w:t xml:space="preserve"> orientação jurisprudencial</w:t>
      </w:r>
      <w:r>
        <w:rPr>
          <w:sz w:val="24"/>
          <w:szCs w:val="24"/>
        </w:rPr>
        <w:t>, desde que tenha havido a conversão do verbete em súmula. No presente caso, a</w:t>
      </w:r>
      <w:r w:rsidRPr="00AE2D80">
        <w:rPr>
          <w:sz w:val="24"/>
          <w:szCs w:val="24"/>
        </w:rPr>
        <w:t xml:space="preserve"> Turma conheceu e deu provimento ao recurso de revista </w:t>
      </w:r>
      <w:r>
        <w:rPr>
          <w:sz w:val="24"/>
          <w:szCs w:val="24"/>
        </w:rPr>
        <w:t>interposto pela</w:t>
      </w:r>
      <w:r w:rsidRPr="00AE2D80">
        <w:rPr>
          <w:sz w:val="24"/>
          <w:szCs w:val="24"/>
        </w:rPr>
        <w:t xml:space="preserve"> reclamada para afastar a</w:t>
      </w:r>
      <w:r>
        <w:rPr>
          <w:sz w:val="24"/>
          <w:szCs w:val="24"/>
        </w:rPr>
        <w:t xml:space="preserve"> sua</w:t>
      </w:r>
      <w:r w:rsidRPr="00AE2D80">
        <w:rPr>
          <w:sz w:val="24"/>
          <w:szCs w:val="24"/>
        </w:rPr>
        <w:t xml:space="preserve"> </w:t>
      </w:r>
      <w:r w:rsidRPr="00AE2D80">
        <w:rPr>
          <w:sz w:val="24"/>
          <w:szCs w:val="24"/>
        </w:rPr>
        <w:lastRenderedPageBreak/>
        <w:t>responsabilidade subsidiária, reconhecendo contrariedade à Orientação Jurisprudencial nº 191 da SBDI-</w:t>
      </w:r>
      <w:r>
        <w:rPr>
          <w:sz w:val="24"/>
          <w:szCs w:val="24"/>
        </w:rPr>
        <w:t>I</w:t>
      </w:r>
      <w:r w:rsidRPr="00AE2D80">
        <w:rPr>
          <w:sz w:val="24"/>
          <w:szCs w:val="24"/>
        </w:rPr>
        <w:t xml:space="preserve">, </w:t>
      </w:r>
      <w:r>
        <w:rPr>
          <w:sz w:val="24"/>
          <w:szCs w:val="24"/>
        </w:rPr>
        <w:t>a despeito da vedação disposta no art. 896, § 6º, da CLT. Nos embargos, mesmo diante da alegação de contrariedade à Orientação Jurisprudencial nº 352 da SBDI-I, entendeu-se</w:t>
      </w:r>
      <w:r w:rsidRPr="00AE2D80">
        <w:rPr>
          <w:sz w:val="24"/>
          <w:szCs w:val="24"/>
        </w:rPr>
        <w:t xml:space="preserve"> autorizado o conhecimento</w:t>
      </w:r>
      <w:r>
        <w:rPr>
          <w:sz w:val="24"/>
          <w:szCs w:val="24"/>
        </w:rPr>
        <w:t xml:space="preserve"> do apelo </w:t>
      </w:r>
      <w:r w:rsidRPr="00AE2D80">
        <w:rPr>
          <w:sz w:val="24"/>
          <w:szCs w:val="24"/>
        </w:rPr>
        <w:t>tendo em vista a posterior conversão dess</w:t>
      </w:r>
      <w:r>
        <w:rPr>
          <w:sz w:val="24"/>
          <w:szCs w:val="24"/>
        </w:rPr>
        <w:t xml:space="preserve">e verbete </w:t>
      </w:r>
      <w:r w:rsidRPr="00AE2D80">
        <w:rPr>
          <w:sz w:val="24"/>
          <w:szCs w:val="24"/>
        </w:rPr>
        <w:t>na Súmula nº 442 do TST</w:t>
      </w:r>
      <w:r>
        <w:rPr>
          <w:sz w:val="24"/>
          <w:szCs w:val="24"/>
        </w:rPr>
        <w:t xml:space="preserve">. Assim, a SBDI-I, </w:t>
      </w:r>
      <w:r w:rsidRPr="002736F7">
        <w:rPr>
          <w:sz w:val="24"/>
          <w:szCs w:val="24"/>
        </w:rPr>
        <w:t>por unanimidade, conheceu dos embargos interpostos pel</w:t>
      </w:r>
      <w:r>
        <w:rPr>
          <w:sz w:val="24"/>
          <w:szCs w:val="24"/>
        </w:rPr>
        <w:t>o reclamante</w:t>
      </w:r>
      <w:r w:rsidRPr="002736F7">
        <w:rPr>
          <w:sz w:val="24"/>
          <w:szCs w:val="24"/>
        </w:rPr>
        <w:t xml:space="preserve">, </w:t>
      </w:r>
      <w:r w:rsidRPr="00AE2D80">
        <w:rPr>
          <w:sz w:val="24"/>
          <w:szCs w:val="24"/>
        </w:rPr>
        <w:t xml:space="preserve">por contrariedade </w:t>
      </w:r>
      <w:r w:rsidR="00586E13">
        <w:rPr>
          <w:sz w:val="24"/>
          <w:szCs w:val="24"/>
        </w:rPr>
        <w:t>à</w:t>
      </w:r>
      <w:r w:rsidRPr="00AE2D80">
        <w:rPr>
          <w:sz w:val="24"/>
          <w:szCs w:val="24"/>
        </w:rPr>
        <w:t xml:space="preserve"> Orientação Jurisprudencial nº 352 da SBDI-</w:t>
      </w:r>
      <w:r>
        <w:rPr>
          <w:sz w:val="24"/>
          <w:szCs w:val="24"/>
        </w:rPr>
        <w:t>I</w:t>
      </w:r>
      <w:r w:rsidRPr="00AE2D80">
        <w:rPr>
          <w:sz w:val="24"/>
          <w:szCs w:val="24"/>
        </w:rPr>
        <w:t>, posteriormente convertida na Súmula nº 442 do TST, e, no mérito, d</w:t>
      </w:r>
      <w:r>
        <w:rPr>
          <w:sz w:val="24"/>
          <w:szCs w:val="24"/>
        </w:rPr>
        <w:t>eu</w:t>
      </w:r>
      <w:r w:rsidRPr="00AE2D80">
        <w:rPr>
          <w:sz w:val="24"/>
          <w:szCs w:val="24"/>
        </w:rPr>
        <w:t>-lhe provimento para, afastada a possibilidade de conhecimento do recurso de revista pela Orientação Jurisprudencial nº 191 da SBDI-</w:t>
      </w:r>
      <w:r>
        <w:rPr>
          <w:sz w:val="24"/>
          <w:szCs w:val="24"/>
        </w:rPr>
        <w:t>I</w:t>
      </w:r>
      <w:r w:rsidRPr="00AE2D80">
        <w:rPr>
          <w:sz w:val="24"/>
          <w:szCs w:val="24"/>
        </w:rPr>
        <w:t>, determinar o retorno dos autos à Turma de origem, a fim de que aprecie o tema</w:t>
      </w:r>
      <w:r>
        <w:rPr>
          <w:sz w:val="24"/>
          <w:szCs w:val="24"/>
        </w:rPr>
        <w:t xml:space="preserve"> da responsabilidade</w:t>
      </w:r>
      <w:r w:rsidRPr="00AE2D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subsidiária </w:t>
      </w:r>
      <w:r w:rsidRPr="00AE2D80">
        <w:rPr>
          <w:sz w:val="24"/>
          <w:szCs w:val="24"/>
        </w:rPr>
        <w:t xml:space="preserve">sob o prisma da ofensa aos preceitos constitucionais invocados, bem como </w:t>
      </w:r>
      <w:r>
        <w:rPr>
          <w:sz w:val="24"/>
          <w:szCs w:val="24"/>
        </w:rPr>
        <w:t>da alegada</w:t>
      </w:r>
      <w:r w:rsidRPr="00AE2D80">
        <w:rPr>
          <w:sz w:val="24"/>
          <w:szCs w:val="24"/>
        </w:rPr>
        <w:t xml:space="preserve"> contrariedade à Súmula nº 331 </w:t>
      </w:r>
      <w:r>
        <w:rPr>
          <w:sz w:val="24"/>
          <w:szCs w:val="24"/>
        </w:rPr>
        <w:t>do TST</w:t>
      </w:r>
      <w:r w:rsidRPr="00AE2D80">
        <w:rPr>
          <w:sz w:val="24"/>
          <w:szCs w:val="24"/>
        </w:rPr>
        <w:t>.</w:t>
      </w:r>
      <w:r w:rsidRPr="002736F7">
        <w:rPr>
          <w:sz w:val="24"/>
          <w:szCs w:val="24"/>
        </w:rPr>
        <w:t xml:space="preserve"> </w:t>
      </w:r>
      <w:hyperlink r:id="rId16" w:history="1">
        <w:r w:rsidRPr="003833BC">
          <w:rPr>
            <w:rStyle w:val="Hyperlink"/>
            <w:sz w:val="24"/>
            <w:szCs w:val="24"/>
          </w:rPr>
          <w:t>TST-E-RR-132800-68.</w:t>
        </w:r>
        <w:r w:rsidRPr="003833BC">
          <w:rPr>
            <w:rStyle w:val="Hyperlink"/>
            <w:sz w:val="24"/>
            <w:szCs w:val="24"/>
          </w:rPr>
          <w:t>2</w:t>
        </w:r>
        <w:r w:rsidRPr="003833BC">
          <w:rPr>
            <w:rStyle w:val="Hyperlink"/>
            <w:sz w:val="24"/>
            <w:szCs w:val="24"/>
          </w:rPr>
          <w:t>009.5.15.0087</w:t>
        </w:r>
      </w:hyperlink>
      <w:r w:rsidRPr="00263320">
        <w:rPr>
          <w:sz w:val="24"/>
          <w:szCs w:val="24"/>
          <w:u w:val="single"/>
        </w:rPr>
        <w:t xml:space="preserve">, SBDI-I, rel. Min. </w:t>
      </w:r>
      <w:r w:rsidRPr="009D2845">
        <w:rPr>
          <w:sz w:val="24"/>
          <w:szCs w:val="24"/>
          <w:u w:val="single"/>
        </w:rPr>
        <w:t>Luiz Philippe Vieira de Mello Filho</w:t>
      </w:r>
      <w:r w:rsidRPr="00263320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4.9</w:t>
      </w:r>
      <w:r w:rsidRPr="00263320">
        <w:rPr>
          <w:sz w:val="24"/>
          <w:szCs w:val="24"/>
          <w:u w:val="single"/>
        </w:rPr>
        <w:t>.2014</w:t>
      </w:r>
    </w:p>
    <w:p w:rsidR="00BC1DE7" w:rsidRPr="002108D3" w:rsidRDefault="00BC1DE7" w:rsidP="00C71A3B">
      <w:pPr>
        <w:pStyle w:val="Corpo"/>
        <w:spacing w:line="240" w:lineRule="auto"/>
        <w:ind w:firstLine="0"/>
        <w:rPr>
          <w:rFonts w:ascii="Times New Roman" w:hAnsi="Times New Roman" w:cs="Times New Roman"/>
          <w:u w:val="single"/>
          <w:lang w:val="pt-BR" w:eastAsia="en-US"/>
        </w:rPr>
      </w:pPr>
    </w:p>
    <w:p w:rsidR="00631F1C" w:rsidRPr="00971E07" w:rsidRDefault="00631F1C" w:rsidP="00631F1C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</w:pP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S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UBSEÇÃO II </w:t>
      </w: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ESPECIALIZADA EM DISSÍDIOS 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INDIVIDUAIS</w:t>
      </w:r>
    </w:p>
    <w:p w:rsidR="004B21AD" w:rsidRPr="005D1DE4" w:rsidRDefault="004B21AD" w:rsidP="009027C8">
      <w:pPr>
        <w:pStyle w:val="tema"/>
        <w:tabs>
          <w:tab w:val="left" w:pos="11482"/>
          <w:tab w:val="left" w:pos="11624"/>
        </w:tabs>
        <w:ind w:left="0"/>
        <w:rPr>
          <w:rFonts w:ascii="Times New Roman" w:hAnsi="Times New Roman" w:cs="Times New Roman"/>
          <w:bCs w:val="0"/>
          <w:i/>
          <w:iCs/>
          <w:caps w:val="0"/>
          <w:color w:val="auto"/>
        </w:rPr>
      </w:pPr>
    </w:p>
    <w:p w:rsidR="002108D3" w:rsidRDefault="002108D3" w:rsidP="002108D3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Mandado de segurança. Concurso público. Nomeação. Longo lapso temporal. Notificação pessoal. Publicidade e razoabilidade.</w:t>
      </w:r>
    </w:p>
    <w:p w:rsidR="002108D3" w:rsidRDefault="002108D3" w:rsidP="002108D3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O candidato aprovado em concurso público, cuja nomeação tenha ocorrido após transcorrido considerável lapso temporal desde a homologação do resultado final, deve ser notificado pessoalmente, não sendo suficiente a convocação por meio do Diário Oficial, em razão dos princípios da publicidade e da razoabilidade. No caso vertente, restou assentado não ser plausível exigir o acompanhamento das publicações na imprensa oficial durante longo período de tempo (mais de três anos). Ademais, não obstante tenha a autoridade coatora informado que encaminhara mensagem eletrônica ao candidato, não fez prova do seu recebimento, de modo que, antes de presumir a falta de interesse, deveria, por prudência, ter se utilizado de outros meios disponíveis para a comunicação. Com esses fundamentos, a SBDI-II, por unanimidade, deu provimento ao recurso ordinário para conceder a segurança e determinar a convocação do recorrente </w:t>
      </w:r>
      <w:r w:rsidRPr="00767D95">
        <w:rPr>
          <w:sz w:val="24"/>
          <w:szCs w:val="24"/>
        </w:rPr>
        <w:t>para a apresentação de documentos e, cumpridos os requisitos exigidos, assegura</w:t>
      </w:r>
      <w:r>
        <w:rPr>
          <w:sz w:val="24"/>
          <w:szCs w:val="24"/>
        </w:rPr>
        <w:t>r</w:t>
      </w:r>
      <w:r w:rsidRPr="00767D95">
        <w:rPr>
          <w:sz w:val="24"/>
          <w:szCs w:val="24"/>
        </w:rPr>
        <w:t xml:space="preserve"> o direito à posse no cargo de Técnico Judiciário - Área Administrativa, do Quadro Permanente da Secretaria do T</w:t>
      </w:r>
      <w:r>
        <w:rPr>
          <w:sz w:val="24"/>
          <w:szCs w:val="24"/>
        </w:rPr>
        <w:t xml:space="preserve">RT da </w:t>
      </w:r>
      <w:r w:rsidRPr="00767D95">
        <w:rPr>
          <w:sz w:val="24"/>
          <w:szCs w:val="24"/>
        </w:rPr>
        <w:t>2ª Região.</w:t>
      </w:r>
      <w:r>
        <w:rPr>
          <w:sz w:val="24"/>
          <w:szCs w:val="24"/>
        </w:rPr>
        <w:t xml:space="preserve"> Ressalvou entendimento, quanto à competência da Subseção para o julgamento da matéria, o Ministro Emmanoel Pereira. </w:t>
      </w:r>
      <w:hyperlink r:id="rId17" w:history="1">
        <w:r w:rsidRPr="003833BC">
          <w:rPr>
            <w:rStyle w:val="Hyperlink"/>
            <w:sz w:val="24"/>
            <w:szCs w:val="24"/>
          </w:rPr>
          <w:t>TST-RO-7552-20.2012.5.02.0000</w:t>
        </w:r>
      </w:hyperlink>
      <w:r>
        <w:rPr>
          <w:sz w:val="24"/>
          <w:szCs w:val="24"/>
          <w:u w:val="single"/>
        </w:rPr>
        <w:t>, SBDI-II, rel. Min. Cláudio Mascarenhas Brandão, 2.9.2014</w:t>
      </w:r>
    </w:p>
    <w:p w:rsidR="004B21AD" w:rsidRPr="005D1DE4" w:rsidRDefault="004B21AD" w:rsidP="009027C8">
      <w:pPr>
        <w:pStyle w:val="tema"/>
        <w:tabs>
          <w:tab w:val="left" w:pos="11482"/>
          <w:tab w:val="left" w:pos="11624"/>
        </w:tabs>
        <w:ind w:left="0"/>
        <w:rPr>
          <w:rFonts w:ascii="Times New Roman" w:hAnsi="Times New Roman" w:cs="Times New Roman"/>
          <w:bCs w:val="0"/>
          <w:i/>
          <w:iCs/>
          <w:caps w:val="0"/>
          <w:color w:val="auto"/>
        </w:rPr>
      </w:pPr>
    </w:p>
    <w:p w:rsidR="006456B1" w:rsidRDefault="006456B1" w:rsidP="004C2612">
      <w:pPr>
        <w:pStyle w:val="EXPLICAO"/>
        <w:ind w:left="0"/>
        <w:rPr>
          <w:rFonts w:ascii="Times New Roman" w:hAnsi="Times New Roman" w:cs="Times New Roman"/>
          <w:b/>
          <w:color w:val="auto"/>
        </w:rPr>
      </w:pPr>
    </w:p>
    <w:p w:rsidR="002108D3" w:rsidRDefault="002108D3" w:rsidP="004C2612">
      <w:pPr>
        <w:pStyle w:val="EXPLICAO"/>
        <w:ind w:left="0"/>
        <w:rPr>
          <w:rFonts w:ascii="Times New Roman" w:hAnsi="Times New Roman" w:cs="Times New Roman"/>
          <w:b/>
          <w:color w:val="auto"/>
        </w:rPr>
      </w:pPr>
    </w:p>
    <w:p w:rsidR="002108D3" w:rsidRDefault="002108D3" w:rsidP="004C2612">
      <w:pPr>
        <w:pStyle w:val="EXPLICAO"/>
        <w:ind w:left="0"/>
        <w:rPr>
          <w:rFonts w:ascii="Times New Roman" w:hAnsi="Times New Roman" w:cs="Times New Roman"/>
          <w:b/>
          <w:color w:val="auto"/>
        </w:rPr>
      </w:pPr>
    </w:p>
    <w:p w:rsidR="002108D3" w:rsidRPr="005D1DE4" w:rsidRDefault="002108D3" w:rsidP="004C2612">
      <w:pPr>
        <w:pStyle w:val="EXPLICAO"/>
        <w:ind w:left="0"/>
        <w:rPr>
          <w:rFonts w:ascii="Times New Roman" w:hAnsi="Times New Roman" w:cs="Times New Roman"/>
          <w:b/>
          <w:color w:val="auto"/>
        </w:rPr>
      </w:pPr>
    </w:p>
    <w:p w:rsidR="00C26DFB" w:rsidRPr="005D1DE4" w:rsidRDefault="00C26DFB">
      <w:pPr>
        <w:jc w:val="both"/>
        <w:rPr>
          <w:sz w:val="22"/>
          <w:szCs w:val="22"/>
          <w:u w:val="single"/>
        </w:rPr>
      </w:pPr>
    </w:p>
    <w:p w:rsidR="00C26DFB" w:rsidRPr="005D1DE4" w:rsidRDefault="00C26DFB">
      <w:pPr>
        <w:jc w:val="both"/>
        <w:rPr>
          <w:sz w:val="22"/>
          <w:szCs w:val="22"/>
          <w:u w:val="single"/>
        </w:rPr>
      </w:pPr>
    </w:p>
    <w:p w:rsidR="00184590" w:rsidRPr="005D1DE4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outlineLvl w:val="0"/>
        <w:rPr>
          <w:b w:val="0"/>
          <w:bCs w:val="0"/>
          <w:snapToGrid w:val="0"/>
          <w:sz w:val="20"/>
          <w:szCs w:val="20"/>
        </w:rPr>
      </w:pPr>
      <w:r w:rsidRPr="005D1DE4">
        <w:rPr>
          <w:b w:val="0"/>
          <w:bCs w:val="0"/>
          <w:snapToGrid w:val="0"/>
          <w:sz w:val="20"/>
          <w:szCs w:val="20"/>
        </w:rPr>
        <w:t xml:space="preserve">Informativo TST é mantido pela </w:t>
      </w:r>
    </w:p>
    <w:p w:rsidR="00184590" w:rsidRPr="005D1DE4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rPr>
          <w:b w:val="0"/>
          <w:bCs w:val="0"/>
          <w:snapToGrid w:val="0"/>
          <w:sz w:val="20"/>
          <w:szCs w:val="20"/>
        </w:rPr>
      </w:pPr>
      <w:r w:rsidRPr="005D1DE4">
        <w:rPr>
          <w:b w:val="0"/>
          <w:bCs w:val="0"/>
          <w:snapToGrid w:val="0"/>
          <w:sz w:val="20"/>
          <w:szCs w:val="20"/>
        </w:rPr>
        <w:t>Coordenadoria de Jurisprudência – CJUR</w:t>
      </w:r>
    </w:p>
    <w:p w:rsidR="00184590" w:rsidRPr="005D1DE4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</w:rPr>
      </w:pPr>
      <w:r w:rsidRPr="005D1DE4">
        <w:rPr>
          <w:snapToGrid w:val="0"/>
        </w:rPr>
        <w:t>Informações/Sugestões/Críticas</w:t>
      </w:r>
      <w:r w:rsidRPr="005D1DE4">
        <w:rPr>
          <w:snapToGrid w:val="0"/>
          <w:sz w:val="22"/>
          <w:szCs w:val="22"/>
        </w:rPr>
        <w:t xml:space="preserve">: </w:t>
      </w:r>
      <w:r w:rsidRPr="005D1DE4">
        <w:rPr>
          <w:snapToGrid w:val="0"/>
        </w:rPr>
        <w:t>(61)3043</w:t>
      </w:r>
      <w:r w:rsidR="00352B27">
        <w:rPr>
          <w:snapToGrid w:val="0"/>
        </w:rPr>
        <w:t>-</w:t>
      </w:r>
      <w:r w:rsidRPr="005D1DE4">
        <w:rPr>
          <w:snapToGrid w:val="0"/>
        </w:rPr>
        <w:t>4</w:t>
      </w:r>
      <w:r w:rsidR="00D72C05" w:rsidRPr="005D1DE4">
        <w:rPr>
          <w:snapToGrid w:val="0"/>
        </w:rPr>
        <w:t>417</w:t>
      </w:r>
    </w:p>
    <w:p w:rsidR="007614F1" w:rsidRPr="005D1DE4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  <w:sz w:val="22"/>
          <w:szCs w:val="22"/>
        </w:rPr>
      </w:pPr>
      <w:r w:rsidRPr="005D1DE4">
        <w:rPr>
          <w:snapToGrid w:val="0"/>
        </w:rPr>
        <w:t>cjur@tst.jus.br</w:t>
      </w:r>
    </w:p>
    <w:sectPr w:rsidR="007614F1" w:rsidRPr="005D1DE4" w:rsidSect="00D11B24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1304" w:right="1134" w:bottom="851" w:left="1134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A41" w:rsidRDefault="00B30A41">
      <w:r>
        <w:separator/>
      </w:r>
    </w:p>
  </w:endnote>
  <w:endnote w:type="continuationSeparator" w:id="0">
    <w:p w:rsidR="00B30A41" w:rsidRDefault="00B3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Default="00FE00AD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24A78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FE00AD" w:rsidRDefault="00187A37">
    <w:pPr>
      <w:pStyle w:val="Rodap"/>
      <w:ind w:right="360"/>
    </w:pPr>
    <w:r>
      <w:rPr>
        <w:noProof/>
      </w:rPr>
      <w:pict>
        <v:line id="_x0000_s2050" style="position:absolute;z-index:251658240" from=".9pt,-3.55pt" to="497.7pt,-3.55pt" o:allowincell="f" strokecolor="#969696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Default="00187A37">
    <w:pPr>
      <w:pStyle w:val="Rodap"/>
      <w:jc w:val="right"/>
    </w:pPr>
    <w:r>
      <w:rPr>
        <w:noProof/>
      </w:rPr>
      <w:pict>
        <v:line id="_x0000_s2054" style="position:absolute;left:0;text-align:left;flip:y;z-index:251659264" from=".9pt,-3.55pt" to="497.7pt,-3.4pt" o:allowincell="f" strokecolor="#969696"/>
      </w:pict>
    </w:r>
    <w:r w:rsidR="00FE00AD">
      <w:rPr>
        <w:rStyle w:val="Nmerodepgina"/>
      </w:rPr>
      <w:fldChar w:fldCharType="begin"/>
    </w:r>
    <w:r w:rsidR="00FE00AD">
      <w:rPr>
        <w:rStyle w:val="Nmerodepgina"/>
      </w:rPr>
      <w:instrText xml:space="preserve"> PAGE </w:instrText>
    </w:r>
    <w:r w:rsidR="00FE00AD">
      <w:rPr>
        <w:rStyle w:val="Nmerodepgina"/>
      </w:rPr>
      <w:fldChar w:fldCharType="separate"/>
    </w:r>
    <w:r w:rsidR="00624A78">
      <w:rPr>
        <w:rStyle w:val="Nmerodepgina"/>
        <w:noProof/>
      </w:rPr>
      <w:t>1</w:t>
    </w:r>
    <w:r w:rsidR="00FE00AD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A41" w:rsidRDefault="00B30A41">
      <w:r>
        <w:separator/>
      </w:r>
    </w:p>
  </w:footnote>
  <w:footnote w:type="continuationSeparator" w:id="0">
    <w:p w:rsidR="00B30A41" w:rsidRDefault="00B30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Pr="00971E07" w:rsidRDefault="00FE00AD">
    <w:pPr>
      <w:pStyle w:val="Corpodetexto"/>
      <w:jc w:val="right"/>
      <w:rPr>
        <w:shadow/>
        <w:sz w:val="24"/>
        <w:szCs w:val="24"/>
      </w:rPr>
    </w:pPr>
    <w:r w:rsidRPr="00971E07">
      <w:rPr>
        <w:shadow/>
        <w:sz w:val="24"/>
        <w:szCs w:val="24"/>
      </w:rPr>
      <w:t xml:space="preserve">Informativo TST - </w:t>
    </w:r>
    <w:r w:rsidR="00986D77">
      <w:rPr>
        <w:shadow/>
        <w:sz w:val="24"/>
        <w:szCs w:val="24"/>
      </w:rPr>
      <w:t>n</w:t>
    </w:r>
    <w:r w:rsidRPr="00971E07">
      <w:rPr>
        <w:shadow/>
        <w:sz w:val="24"/>
        <w:szCs w:val="24"/>
      </w:rPr>
      <w:t xml:space="preserve">º </w:t>
    </w:r>
    <w:r w:rsidR="002108D3">
      <w:rPr>
        <w:shadow/>
        <w:sz w:val="24"/>
        <w:szCs w:val="24"/>
      </w:rPr>
      <w:t>88</w:t>
    </w:r>
  </w:p>
  <w:p w:rsidR="00FE00AD" w:rsidRPr="00971E07" w:rsidRDefault="00187A37">
    <w:pPr>
      <w:pStyle w:val="Ttulo6"/>
      <w:spacing w:line="360" w:lineRule="auto"/>
      <w:jc w:val="right"/>
      <w:rPr>
        <w:i/>
        <w:iCs/>
        <w:sz w:val="20"/>
        <w:szCs w:val="20"/>
      </w:rPr>
    </w:pPr>
    <w:r>
      <w:rPr>
        <w:noProof/>
      </w:rPr>
      <w:pict>
        <v:line id="_x0000_s2049" style="position:absolute;left:0;text-align:left;flip:x;z-index:251657216" from=".9pt,10.15pt" to="497.7pt,10.15pt" o:allowincell="f" strokecolor="#969696"/>
      </w:pict>
    </w:r>
    <w:r w:rsidR="002168DE">
      <w:rPr>
        <w:sz w:val="20"/>
        <w:szCs w:val="20"/>
      </w:rPr>
      <w:t xml:space="preserve">Período: </w:t>
    </w:r>
    <w:r w:rsidR="002108D3">
      <w:rPr>
        <w:sz w:val="20"/>
        <w:szCs w:val="20"/>
      </w:rPr>
      <w:t>26 de agosto</w:t>
    </w:r>
    <w:r w:rsidR="00E16E01" w:rsidRPr="00971E07">
      <w:rPr>
        <w:sz w:val="20"/>
        <w:szCs w:val="20"/>
      </w:rPr>
      <w:t xml:space="preserve"> a</w:t>
    </w:r>
    <w:r w:rsidR="00FE00AD" w:rsidRPr="00971E07">
      <w:rPr>
        <w:sz w:val="20"/>
        <w:szCs w:val="20"/>
      </w:rPr>
      <w:t xml:space="preserve"> </w:t>
    </w:r>
    <w:r w:rsidR="002108D3">
      <w:rPr>
        <w:sz w:val="20"/>
        <w:szCs w:val="20"/>
      </w:rPr>
      <w:t>8</w:t>
    </w:r>
    <w:r w:rsidR="00FE00AD" w:rsidRPr="00971E07">
      <w:rPr>
        <w:sz w:val="20"/>
        <w:szCs w:val="20"/>
      </w:rPr>
      <w:t xml:space="preserve"> de </w:t>
    </w:r>
    <w:r w:rsidR="002108D3">
      <w:rPr>
        <w:sz w:val="20"/>
        <w:szCs w:val="20"/>
      </w:rPr>
      <w:t>setembro</w:t>
    </w:r>
    <w:r w:rsidR="00FE00AD" w:rsidRPr="00971E07">
      <w:rPr>
        <w:sz w:val="20"/>
        <w:szCs w:val="20"/>
      </w:rPr>
      <w:t xml:space="preserve"> de 20</w:t>
    </w:r>
    <w:r w:rsidR="00E16E01" w:rsidRPr="00971E07">
      <w:rPr>
        <w:sz w:val="20"/>
        <w:szCs w:val="20"/>
      </w:rPr>
      <w:t>1</w:t>
    </w:r>
    <w:r w:rsidR="002108D3">
      <w:rPr>
        <w:sz w:val="20"/>
        <w:szCs w:val="20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Default="00075BD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65.7pt;margin-top:25pt;width:381.6pt;height:36pt;z-index:251656192" o:allowincell="f" fillcolor="black">
          <v:shadow color="#868686"/>
          <v:textpath style="font-family:&quot;Times New Roman&quot;;v-text-kern:t" trim="t" fitpath="t" string="INFORMATIVO TST"/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pt;height:77.25pt">
          <v:imagedata r:id="rId1" o:title="TST LOGO"/>
        </v:shape>
      </w:pict>
    </w:r>
  </w:p>
  <w:p w:rsidR="00FE00AD" w:rsidRPr="002168DE" w:rsidRDefault="00A51749" w:rsidP="00075BDB">
    <w:pPr>
      <w:pStyle w:val="Cabealho"/>
      <w:tabs>
        <w:tab w:val="clear" w:pos="4419"/>
        <w:tab w:val="clear" w:pos="8838"/>
        <w:tab w:val="left" w:pos="2793"/>
      </w:tabs>
      <w:jc w:val="right"/>
      <w:rPr>
        <w:b/>
        <w:sz w:val="40"/>
        <w:szCs w:val="40"/>
      </w:rPr>
    </w:pPr>
    <w:r>
      <w:tab/>
    </w:r>
    <w:r w:rsidR="00075BDB">
      <w:tab/>
    </w:r>
    <w:r w:rsidR="00075BDB">
      <w:tab/>
    </w:r>
    <w:r w:rsidR="00075BDB">
      <w:tab/>
    </w:r>
    <w:r w:rsidR="00075BDB">
      <w:tab/>
    </w:r>
    <w:r w:rsidR="00075BDB">
      <w:tab/>
    </w:r>
    <w:r w:rsidR="00FE00AD" w:rsidRPr="002168DE">
      <w:rPr>
        <w:b/>
        <w:sz w:val="40"/>
        <w:szCs w:val="40"/>
      </w:rPr>
      <w:t xml:space="preserve">Nº </w:t>
    </w:r>
    <w:r w:rsidR="002108D3">
      <w:rPr>
        <w:b/>
        <w:sz w:val="40"/>
        <w:szCs w:val="40"/>
      </w:rPr>
      <w:t>88</w:t>
    </w:r>
  </w:p>
  <w:p w:rsidR="00FE00AD" w:rsidRPr="005D1DE4" w:rsidRDefault="00FE00AD">
    <w:pPr>
      <w:pStyle w:val="Cabealho"/>
      <w:jc w:val="right"/>
      <w:rPr>
        <w:i/>
        <w:iCs/>
        <w:sz w:val="10"/>
        <w:szCs w:val="10"/>
      </w:rPr>
    </w:pPr>
  </w:p>
  <w:p w:rsidR="00FE00AD" w:rsidRPr="005D1DE4" w:rsidRDefault="002168DE">
    <w:pPr>
      <w:pStyle w:val="Cabealho"/>
      <w:jc w:val="right"/>
    </w:pPr>
    <w:r>
      <w:rPr>
        <w:i/>
        <w:iCs/>
      </w:rPr>
      <w:t>Período:</w:t>
    </w:r>
    <w:r w:rsidR="00FE00AD" w:rsidRPr="005D1DE4">
      <w:rPr>
        <w:i/>
        <w:iCs/>
      </w:rPr>
      <w:t xml:space="preserve"> </w:t>
    </w:r>
    <w:r w:rsidR="002108D3">
      <w:rPr>
        <w:i/>
        <w:iCs/>
      </w:rPr>
      <w:t xml:space="preserve">26 de agosto </w:t>
    </w:r>
    <w:r w:rsidR="00FE00AD" w:rsidRPr="005D1DE4">
      <w:rPr>
        <w:i/>
        <w:iCs/>
      </w:rPr>
      <w:t xml:space="preserve">a </w:t>
    </w:r>
    <w:r w:rsidR="002108D3">
      <w:rPr>
        <w:i/>
        <w:iCs/>
      </w:rPr>
      <w:t xml:space="preserve">8 de setembro </w:t>
    </w:r>
    <w:r w:rsidR="00FE00AD" w:rsidRPr="005D1DE4">
      <w:rPr>
        <w:i/>
        <w:iCs/>
      </w:rPr>
      <w:t>de 201</w:t>
    </w:r>
    <w:r w:rsidR="002108D3">
      <w:rPr>
        <w:i/>
        <w:iCs/>
      </w:rPr>
      <w:t>4</w:t>
    </w:r>
  </w:p>
  <w:p w:rsidR="00FE00AD" w:rsidRDefault="00FE00AD" w:rsidP="00631F1C">
    <w:pPr>
      <w:pStyle w:val="Cabealho"/>
      <w:pBdr>
        <w:bottom w:val="single" w:sz="4" w:space="1" w:color="auto"/>
      </w:pBd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08C3"/>
    <w:multiLevelType w:val="multilevel"/>
    <w:tmpl w:val="1292BA3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61C72"/>
    <w:multiLevelType w:val="multilevel"/>
    <w:tmpl w:val="E452BD52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86985"/>
    <w:multiLevelType w:val="multilevel"/>
    <w:tmpl w:val="D854AEF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6FE"/>
    <w:rsid w:val="00004C36"/>
    <w:rsid w:val="000228E6"/>
    <w:rsid w:val="00032056"/>
    <w:rsid w:val="000322FB"/>
    <w:rsid w:val="000425FC"/>
    <w:rsid w:val="00050E85"/>
    <w:rsid w:val="00056752"/>
    <w:rsid w:val="00057B87"/>
    <w:rsid w:val="0006020E"/>
    <w:rsid w:val="000733B4"/>
    <w:rsid w:val="00073880"/>
    <w:rsid w:val="00075BDB"/>
    <w:rsid w:val="00080F10"/>
    <w:rsid w:val="0009237D"/>
    <w:rsid w:val="00093AE9"/>
    <w:rsid w:val="00093BA8"/>
    <w:rsid w:val="000A04E6"/>
    <w:rsid w:val="000B4D41"/>
    <w:rsid w:val="000B67DF"/>
    <w:rsid w:val="000B7CDE"/>
    <w:rsid w:val="000C3022"/>
    <w:rsid w:val="000C672B"/>
    <w:rsid w:val="000E0A91"/>
    <w:rsid w:val="0011575C"/>
    <w:rsid w:val="0011692E"/>
    <w:rsid w:val="00137564"/>
    <w:rsid w:val="00137DC1"/>
    <w:rsid w:val="0015612D"/>
    <w:rsid w:val="00176D15"/>
    <w:rsid w:val="00184590"/>
    <w:rsid w:val="00187A37"/>
    <w:rsid w:val="0019151D"/>
    <w:rsid w:val="00193208"/>
    <w:rsid w:val="001C04D2"/>
    <w:rsid w:val="001C271F"/>
    <w:rsid w:val="001C6C93"/>
    <w:rsid w:val="001D4CF9"/>
    <w:rsid w:val="001D5AB0"/>
    <w:rsid w:val="001D757D"/>
    <w:rsid w:val="001E14BB"/>
    <w:rsid w:val="001E4B57"/>
    <w:rsid w:val="001E5BD1"/>
    <w:rsid w:val="001E713B"/>
    <w:rsid w:val="001F030F"/>
    <w:rsid w:val="00206810"/>
    <w:rsid w:val="002108D3"/>
    <w:rsid w:val="002168DE"/>
    <w:rsid w:val="00224AC2"/>
    <w:rsid w:val="0023559D"/>
    <w:rsid w:val="002402B0"/>
    <w:rsid w:val="002449F9"/>
    <w:rsid w:val="00245294"/>
    <w:rsid w:val="002635ED"/>
    <w:rsid w:val="002662BA"/>
    <w:rsid w:val="00266D49"/>
    <w:rsid w:val="00271C5C"/>
    <w:rsid w:val="00271E67"/>
    <w:rsid w:val="002730B5"/>
    <w:rsid w:val="00280594"/>
    <w:rsid w:val="00285064"/>
    <w:rsid w:val="002A219D"/>
    <w:rsid w:val="002A546D"/>
    <w:rsid w:val="002B4738"/>
    <w:rsid w:val="002B6377"/>
    <w:rsid w:val="002C2904"/>
    <w:rsid w:val="002E78CB"/>
    <w:rsid w:val="0033397A"/>
    <w:rsid w:val="00352B27"/>
    <w:rsid w:val="0036325E"/>
    <w:rsid w:val="003671FE"/>
    <w:rsid w:val="003708FD"/>
    <w:rsid w:val="0037667D"/>
    <w:rsid w:val="003833BC"/>
    <w:rsid w:val="00384075"/>
    <w:rsid w:val="003908C5"/>
    <w:rsid w:val="00396053"/>
    <w:rsid w:val="003A4086"/>
    <w:rsid w:val="003A5E5B"/>
    <w:rsid w:val="003B045C"/>
    <w:rsid w:val="003B0A59"/>
    <w:rsid w:val="003B3EB5"/>
    <w:rsid w:val="003B4E23"/>
    <w:rsid w:val="003B767E"/>
    <w:rsid w:val="003C6FE7"/>
    <w:rsid w:val="003D032E"/>
    <w:rsid w:val="003D4205"/>
    <w:rsid w:val="003F2078"/>
    <w:rsid w:val="0042772A"/>
    <w:rsid w:val="004323B0"/>
    <w:rsid w:val="00444E88"/>
    <w:rsid w:val="0045657C"/>
    <w:rsid w:val="004655CC"/>
    <w:rsid w:val="00466DB9"/>
    <w:rsid w:val="00486521"/>
    <w:rsid w:val="00486DFC"/>
    <w:rsid w:val="004922D6"/>
    <w:rsid w:val="004A14FC"/>
    <w:rsid w:val="004A5264"/>
    <w:rsid w:val="004B21AD"/>
    <w:rsid w:val="004C011C"/>
    <w:rsid w:val="004C14EA"/>
    <w:rsid w:val="004C2118"/>
    <w:rsid w:val="004C2612"/>
    <w:rsid w:val="004D6000"/>
    <w:rsid w:val="004D6415"/>
    <w:rsid w:val="004D71E8"/>
    <w:rsid w:val="004E393E"/>
    <w:rsid w:val="004E4507"/>
    <w:rsid w:val="004E4619"/>
    <w:rsid w:val="004F0A7D"/>
    <w:rsid w:val="0051538E"/>
    <w:rsid w:val="00517E01"/>
    <w:rsid w:val="00521EEC"/>
    <w:rsid w:val="005460BD"/>
    <w:rsid w:val="00553197"/>
    <w:rsid w:val="0055409E"/>
    <w:rsid w:val="00556367"/>
    <w:rsid w:val="00556B35"/>
    <w:rsid w:val="00573E13"/>
    <w:rsid w:val="00584F82"/>
    <w:rsid w:val="00586E13"/>
    <w:rsid w:val="00591DFA"/>
    <w:rsid w:val="005A5695"/>
    <w:rsid w:val="005B2F00"/>
    <w:rsid w:val="005B57DE"/>
    <w:rsid w:val="005C1886"/>
    <w:rsid w:val="005C761E"/>
    <w:rsid w:val="005D0E5F"/>
    <w:rsid w:val="005D1DE4"/>
    <w:rsid w:val="005E35BD"/>
    <w:rsid w:val="005E3D4D"/>
    <w:rsid w:val="005E7FD1"/>
    <w:rsid w:val="005F2858"/>
    <w:rsid w:val="006002E3"/>
    <w:rsid w:val="006145AC"/>
    <w:rsid w:val="00615F98"/>
    <w:rsid w:val="00621F9C"/>
    <w:rsid w:val="00624A78"/>
    <w:rsid w:val="00631166"/>
    <w:rsid w:val="00631F1C"/>
    <w:rsid w:val="006366A4"/>
    <w:rsid w:val="006456B1"/>
    <w:rsid w:val="006564EC"/>
    <w:rsid w:val="0066084C"/>
    <w:rsid w:val="00672CF9"/>
    <w:rsid w:val="00672E11"/>
    <w:rsid w:val="0068273B"/>
    <w:rsid w:val="00691234"/>
    <w:rsid w:val="006931CC"/>
    <w:rsid w:val="006947F2"/>
    <w:rsid w:val="00697919"/>
    <w:rsid w:val="006B3FCF"/>
    <w:rsid w:val="006B46CA"/>
    <w:rsid w:val="006C0391"/>
    <w:rsid w:val="006C28B3"/>
    <w:rsid w:val="006D1F66"/>
    <w:rsid w:val="006D306E"/>
    <w:rsid w:val="006D4497"/>
    <w:rsid w:val="006F6C15"/>
    <w:rsid w:val="0070727E"/>
    <w:rsid w:val="00710D3A"/>
    <w:rsid w:val="0071315F"/>
    <w:rsid w:val="00721942"/>
    <w:rsid w:val="00722BE7"/>
    <w:rsid w:val="00732DF2"/>
    <w:rsid w:val="007614F1"/>
    <w:rsid w:val="007618C5"/>
    <w:rsid w:val="00764066"/>
    <w:rsid w:val="007644E4"/>
    <w:rsid w:val="00776118"/>
    <w:rsid w:val="007B0F83"/>
    <w:rsid w:val="007D29A1"/>
    <w:rsid w:val="007E0EA7"/>
    <w:rsid w:val="007E3F23"/>
    <w:rsid w:val="007F142E"/>
    <w:rsid w:val="007F7B5E"/>
    <w:rsid w:val="00802B1A"/>
    <w:rsid w:val="0080615C"/>
    <w:rsid w:val="0081027F"/>
    <w:rsid w:val="0081742D"/>
    <w:rsid w:val="00821F4D"/>
    <w:rsid w:val="00823906"/>
    <w:rsid w:val="008409D3"/>
    <w:rsid w:val="00845559"/>
    <w:rsid w:val="00854DB8"/>
    <w:rsid w:val="00854EF2"/>
    <w:rsid w:val="00857C40"/>
    <w:rsid w:val="00863B86"/>
    <w:rsid w:val="00871F69"/>
    <w:rsid w:val="008842D0"/>
    <w:rsid w:val="00884AC4"/>
    <w:rsid w:val="0088579D"/>
    <w:rsid w:val="008A7953"/>
    <w:rsid w:val="008B3081"/>
    <w:rsid w:val="008B32D4"/>
    <w:rsid w:val="008D0020"/>
    <w:rsid w:val="008D3C38"/>
    <w:rsid w:val="008D6A05"/>
    <w:rsid w:val="008E2AE5"/>
    <w:rsid w:val="008E3F89"/>
    <w:rsid w:val="008F26CB"/>
    <w:rsid w:val="008F6509"/>
    <w:rsid w:val="008F79D9"/>
    <w:rsid w:val="009027C8"/>
    <w:rsid w:val="0093467A"/>
    <w:rsid w:val="0094155C"/>
    <w:rsid w:val="00951531"/>
    <w:rsid w:val="00960A3B"/>
    <w:rsid w:val="00967DE0"/>
    <w:rsid w:val="00971E07"/>
    <w:rsid w:val="00980944"/>
    <w:rsid w:val="00986D77"/>
    <w:rsid w:val="009943EC"/>
    <w:rsid w:val="009A32D5"/>
    <w:rsid w:val="009B6012"/>
    <w:rsid w:val="009C102D"/>
    <w:rsid w:val="009C2A4F"/>
    <w:rsid w:val="009D4C59"/>
    <w:rsid w:val="009D7F91"/>
    <w:rsid w:val="009E20EF"/>
    <w:rsid w:val="009E26EE"/>
    <w:rsid w:val="009F21A2"/>
    <w:rsid w:val="00A32FBF"/>
    <w:rsid w:val="00A407EA"/>
    <w:rsid w:val="00A42A1E"/>
    <w:rsid w:val="00A51749"/>
    <w:rsid w:val="00A521B6"/>
    <w:rsid w:val="00A56962"/>
    <w:rsid w:val="00A6412C"/>
    <w:rsid w:val="00A75419"/>
    <w:rsid w:val="00A76661"/>
    <w:rsid w:val="00A76D2A"/>
    <w:rsid w:val="00A82081"/>
    <w:rsid w:val="00A8557E"/>
    <w:rsid w:val="00A91181"/>
    <w:rsid w:val="00A935AC"/>
    <w:rsid w:val="00AB299E"/>
    <w:rsid w:val="00AB507C"/>
    <w:rsid w:val="00AD6E76"/>
    <w:rsid w:val="00AE3EAA"/>
    <w:rsid w:val="00AE5EDF"/>
    <w:rsid w:val="00B14F7F"/>
    <w:rsid w:val="00B14FDC"/>
    <w:rsid w:val="00B16EB9"/>
    <w:rsid w:val="00B22F24"/>
    <w:rsid w:val="00B22F53"/>
    <w:rsid w:val="00B24DBE"/>
    <w:rsid w:val="00B30A41"/>
    <w:rsid w:val="00B34EB2"/>
    <w:rsid w:val="00B517C3"/>
    <w:rsid w:val="00B518B2"/>
    <w:rsid w:val="00B526EA"/>
    <w:rsid w:val="00B536FE"/>
    <w:rsid w:val="00B73FFA"/>
    <w:rsid w:val="00B874F1"/>
    <w:rsid w:val="00BC1DE7"/>
    <w:rsid w:val="00BC5AEE"/>
    <w:rsid w:val="00BD3F63"/>
    <w:rsid w:val="00BD6029"/>
    <w:rsid w:val="00BE0541"/>
    <w:rsid w:val="00BE1ADB"/>
    <w:rsid w:val="00C070DE"/>
    <w:rsid w:val="00C26DFB"/>
    <w:rsid w:val="00C273FA"/>
    <w:rsid w:val="00C30D06"/>
    <w:rsid w:val="00C40420"/>
    <w:rsid w:val="00C42067"/>
    <w:rsid w:val="00C432D0"/>
    <w:rsid w:val="00C4398E"/>
    <w:rsid w:val="00C60B4A"/>
    <w:rsid w:val="00C65BDB"/>
    <w:rsid w:val="00C71A3B"/>
    <w:rsid w:val="00C76CFA"/>
    <w:rsid w:val="00C85DEA"/>
    <w:rsid w:val="00C963F8"/>
    <w:rsid w:val="00C96BB1"/>
    <w:rsid w:val="00CA2F80"/>
    <w:rsid w:val="00CB0C2A"/>
    <w:rsid w:val="00CC4B2B"/>
    <w:rsid w:val="00CC579C"/>
    <w:rsid w:val="00CC5F5F"/>
    <w:rsid w:val="00CD3460"/>
    <w:rsid w:val="00CD4B61"/>
    <w:rsid w:val="00CD5043"/>
    <w:rsid w:val="00CE2928"/>
    <w:rsid w:val="00CE314A"/>
    <w:rsid w:val="00D01C50"/>
    <w:rsid w:val="00D11B24"/>
    <w:rsid w:val="00D133C8"/>
    <w:rsid w:val="00D14DB8"/>
    <w:rsid w:val="00D244D5"/>
    <w:rsid w:val="00D2776A"/>
    <w:rsid w:val="00D413DB"/>
    <w:rsid w:val="00D420E2"/>
    <w:rsid w:val="00D4459D"/>
    <w:rsid w:val="00D573F9"/>
    <w:rsid w:val="00D6058B"/>
    <w:rsid w:val="00D63EC5"/>
    <w:rsid w:val="00D72C05"/>
    <w:rsid w:val="00D847CF"/>
    <w:rsid w:val="00DA0A99"/>
    <w:rsid w:val="00DA7603"/>
    <w:rsid w:val="00DA7E39"/>
    <w:rsid w:val="00DA7EDE"/>
    <w:rsid w:val="00DC0AB5"/>
    <w:rsid w:val="00DC50EB"/>
    <w:rsid w:val="00DD3FA0"/>
    <w:rsid w:val="00DE5B2D"/>
    <w:rsid w:val="00DE5CE9"/>
    <w:rsid w:val="00E03064"/>
    <w:rsid w:val="00E04BD5"/>
    <w:rsid w:val="00E070D2"/>
    <w:rsid w:val="00E1539C"/>
    <w:rsid w:val="00E162B6"/>
    <w:rsid w:val="00E16E01"/>
    <w:rsid w:val="00E24A50"/>
    <w:rsid w:val="00E35639"/>
    <w:rsid w:val="00E432CC"/>
    <w:rsid w:val="00E50711"/>
    <w:rsid w:val="00E60EDA"/>
    <w:rsid w:val="00E62BBC"/>
    <w:rsid w:val="00E9503C"/>
    <w:rsid w:val="00E956D9"/>
    <w:rsid w:val="00EA1958"/>
    <w:rsid w:val="00EA29F5"/>
    <w:rsid w:val="00EA482D"/>
    <w:rsid w:val="00EB5FE6"/>
    <w:rsid w:val="00EB61A5"/>
    <w:rsid w:val="00EB7A09"/>
    <w:rsid w:val="00EC5AF4"/>
    <w:rsid w:val="00ED661C"/>
    <w:rsid w:val="00EE41B5"/>
    <w:rsid w:val="00EE66C9"/>
    <w:rsid w:val="00EF11A9"/>
    <w:rsid w:val="00EF38E1"/>
    <w:rsid w:val="00EF749A"/>
    <w:rsid w:val="00EF771E"/>
    <w:rsid w:val="00F02565"/>
    <w:rsid w:val="00F05542"/>
    <w:rsid w:val="00F17A2C"/>
    <w:rsid w:val="00F26708"/>
    <w:rsid w:val="00F511EE"/>
    <w:rsid w:val="00F5217D"/>
    <w:rsid w:val="00F558E7"/>
    <w:rsid w:val="00F62016"/>
    <w:rsid w:val="00F63F44"/>
    <w:rsid w:val="00F6746D"/>
    <w:rsid w:val="00F811CD"/>
    <w:rsid w:val="00F82D8F"/>
    <w:rsid w:val="00F83F62"/>
    <w:rsid w:val="00F9711D"/>
    <w:rsid w:val="00FA75E0"/>
    <w:rsid w:val="00FB20B1"/>
    <w:rsid w:val="00FB3AB4"/>
    <w:rsid w:val="00FC56A4"/>
    <w:rsid w:val="00FD3D06"/>
    <w:rsid w:val="00FD5662"/>
    <w:rsid w:val="00FD72B6"/>
    <w:rsid w:val="00FE00AD"/>
    <w:rsid w:val="00FE499F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Date" w:unhideWhenUsed="0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color w:val="0000FF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both"/>
      <w:outlineLvl w:val="4"/>
    </w:pPr>
    <w:rPr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sz w:val="28"/>
      <w:szCs w:val="28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5Char">
    <w:name w:val="Título 5 Char"/>
    <w:link w:val="Ttulo5"/>
    <w:uiPriority w:val="99"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locked/>
    <w:rPr>
      <w:rFonts w:ascii="Calibri" w:hAnsi="Calibri" w:cs="Calibri"/>
      <w:b/>
      <w:bCs/>
      <w:sz w:val="22"/>
      <w:szCs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Pr>
      <w:rFonts w:cs="Times New Roman"/>
    </w:rPr>
  </w:style>
  <w:style w:type="paragraph" w:styleId="Corpodetexto">
    <w:name w:val="Body Text"/>
    <w:basedOn w:val="Normal"/>
    <w:link w:val="CorpodetextoChar"/>
    <w:uiPriority w:val="99"/>
    <w:pPr>
      <w:jc w:val="center"/>
    </w:pPr>
    <w:rPr>
      <w:b/>
      <w:bCs/>
      <w:sz w:val="26"/>
      <w:szCs w:val="26"/>
    </w:rPr>
  </w:style>
  <w:style w:type="character" w:customStyle="1" w:styleId="CorpodetextoChar">
    <w:name w:val="Corpo de texto Char"/>
    <w:link w:val="Corpodetexto"/>
    <w:uiPriority w:val="99"/>
    <w:locked/>
    <w:rPr>
      <w:rFonts w:cs="Times New Roman"/>
    </w:rPr>
  </w:style>
  <w:style w:type="paragraph" w:customStyle="1" w:styleId="coletanea">
    <w:name w:val="coletanea"/>
    <w:basedOn w:val="Normal"/>
    <w:pPr>
      <w:jc w:val="both"/>
    </w:pPr>
  </w:style>
  <w:style w:type="paragraph" w:customStyle="1" w:styleId="Ementa">
    <w:name w:val="Ementa"/>
    <w:basedOn w:val="Normal"/>
    <w:uiPriority w:val="99"/>
    <w:pPr>
      <w:ind w:left="4536"/>
      <w:jc w:val="both"/>
    </w:pPr>
    <w:rPr>
      <w:rFonts w:ascii="Courier New" w:hAnsi="Courier New" w:cs="Courier New"/>
      <w:color w:val="808000"/>
      <w:sz w:val="24"/>
      <w:szCs w:val="24"/>
      <w:lang w:val="en-US"/>
    </w:rPr>
  </w:style>
  <w:style w:type="paragraph" w:styleId="Corpodetexto3">
    <w:name w:val="Body Text 3"/>
    <w:basedOn w:val="Normal"/>
    <w:link w:val="Corpodetexto3Char"/>
    <w:uiPriority w:val="99"/>
    <w:pPr>
      <w:jc w:val="both"/>
    </w:pPr>
    <w:rPr>
      <w:b/>
      <w:bCs/>
      <w:i/>
      <w:iCs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Pr>
      <w:rFonts w:cs="Times New Roman"/>
      <w:sz w:val="16"/>
      <w:szCs w:val="16"/>
    </w:rPr>
  </w:style>
  <w:style w:type="character" w:styleId="Nmerodepgina">
    <w:name w:val="page number"/>
    <w:uiPriority w:val="99"/>
    <w:rPr>
      <w:rFonts w:cs="Times New Roman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customStyle="1" w:styleId="Identificao">
    <w:name w:val="Identificação"/>
    <w:basedOn w:val="Normal"/>
    <w:uiPriority w:val="99"/>
    <w:pPr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paragraph" w:customStyle="1" w:styleId="Corpo">
    <w:name w:val="Corpo"/>
    <w:link w:val="CorpoChar"/>
    <w:uiPriority w:val="99"/>
    <w:qFormat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character" w:customStyle="1" w:styleId="Hiperlink">
    <w:name w:val="Hiperlink"/>
    <w:uiPriority w:val="99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locked/>
    <w:rPr>
      <w:rFonts w:cs="Times New Roman"/>
      <w:sz w:val="22"/>
      <w:szCs w:val="22"/>
    </w:rPr>
  </w:style>
  <w:style w:type="paragraph" w:customStyle="1" w:styleId="Voto">
    <w:name w:val="Voto"/>
    <w:basedOn w:val="Corpo"/>
    <w:next w:val="Corpo"/>
    <w:uiPriority w:val="99"/>
    <w:rPr>
      <w:color w:val="0000FF"/>
    </w:rPr>
  </w:style>
  <w:style w:type="paragraph" w:customStyle="1" w:styleId="Transcrio">
    <w:name w:val="Transcrição"/>
    <w:basedOn w:val="Corpo"/>
    <w:uiPriority w:val="99"/>
    <w:pPr>
      <w:ind w:left="2551" w:firstLine="567"/>
    </w:pPr>
    <w:rPr>
      <w:rFonts w:ascii="Times New Roman" w:hAnsi="Times New Roman" w:cs="Times New Roman"/>
    </w:rPr>
  </w:style>
  <w:style w:type="paragraph" w:customStyle="1" w:styleId="Transcrio2">
    <w:name w:val="Transcrição 2"/>
    <w:basedOn w:val="Corpo"/>
    <w:uiPriority w:val="99"/>
    <w:pPr>
      <w:spacing w:line="240" w:lineRule="auto"/>
      <w:ind w:left="3686" w:firstLine="567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line="360" w:lineRule="auto"/>
      <w:ind w:firstLine="2552"/>
      <w:jc w:val="both"/>
    </w:pPr>
    <w:rPr>
      <w:rFonts w:ascii="Courier New" w:hAnsi="Courier New" w:cs="Courier New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locked/>
    <w:rPr>
      <w:rFonts w:cs="Times New Roman"/>
    </w:rPr>
  </w:style>
  <w:style w:type="paragraph" w:customStyle="1" w:styleId="CORPO0">
    <w:name w:val="CORPO"/>
    <w:uiPriority w:val="99"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</w:rPr>
  </w:style>
  <w:style w:type="character" w:styleId="Forte">
    <w:name w:val="Strong"/>
    <w:uiPriority w:val="99"/>
    <w:qFormat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214" w:hanging="142"/>
    </w:pPr>
  </w:style>
  <w:style w:type="character" w:customStyle="1" w:styleId="Recuodecorpodetexto2Char">
    <w:name w:val="Recuo de corpo de texto 2 Char"/>
    <w:link w:val="Recuodecorpodetexto2"/>
    <w:uiPriority w:val="99"/>
    <w:locked/>
    <w:rPr>
      <w:rFonts w:cs="Times New Roman"/>
    </w:rPr>
  </w:style>
  <w:style w:type="paragraph" w:customStyle="1" w:styleId="Funo">
    <w:name w:val="Função"/>
    <w:basedOn w:val="Corpo"/>
    <w:uiPriority w:val="99"/>
    <w:pPr>
      <w:spacing w:line="360" w:lineRule="auto"/>
      <w:ind w:left="1871" w:right="1871" w:firstLine="0"/>
      <w:jc w:val="center"/>
    </w:pPr>
    <w:rPr>
      <w:b/>
      <w:bCs/>
      <w:sz w:val="20"/>
      <w:szCs w:val="20"/>
    </w:rPr>
  </w:style>
  <w:style w:type="paragraph" w:customStyle="1" w:styleId="IstoPosto">
    <w:name w:val="Isto Posto"/>
    <w:basedOn w:val="Corpo"/>
    <w:next w:val="Corpo"/>
    <w:uiPriority w:val="99"/>
    <w:rPr>
      <w:color w:val="800080"/>
    </w:rPr>
  </w:style>
  <w:style w:type="paragraph" w:customStyle="1" w:styleId="body8sem">
    <w:name w:val="body8sem"/>
    <w:uiPriority w:val="99"/>
    <w:pPr>
      <w:autoSpaceDE w:val="0"/>
      <w:autoSpaceDN w:val="0"/>
      <w:spacing w:line="180" w:lineRule="atLeast"/>
      <w:jc w:val="both"/>
    </w:pPr>
    <w:rPr>
      <w:rFonts w:ascii="Times New Roman" w:hAnsi="Times New Roman"/>
      <w:color w:val="000000"/>
      <w:sz w:val="16"/>
      <w:szCs w:val="16"/>
    </w:rPr>
  </w:style>
  <w:style w:type="paragraph" w:customStyle="1" w:styleId="Relatrio">
    <w:name w:val="Relatório"/>
    <w:basedOn w:val="Corpo"/>
    <w:next w:val="Corpo"/>
    <w:uiPriority w:val="99"/>
    <w:rPr>
      <w:color w:val="008000"/>
    </w:rPr>
  </w:style>
  <w:style w:type="paragraph" w:styleId="Data">
    <w:name w:val="Date"/>
    <w:basedOn w:val="Corpo"/>
    <w:next w:val="Corpo"/>
    <w:link w:val="DataChar"/>
    <w:uiPriority w:val="99"/>
    <w:pPr>
      <w:ind w:firstLine="2552"/>
    </w:pPr>
    <w:rPr>
      <w:color w:val="FF00FF"/>
    </w:rPr>
  </w:style>
  <w:style w:type="character" w:customStyle="1" w:styleId="DataChar">
    <w:name w:val="Data Char"/>
    <w:link w:val="Data"/>
    <w:uiPriority w:val="99"/>
    <w:locked/>
    <w:rPr>
      <w:rFonts w:cs="Times New Roman"/>
    </w:rPr>
  </w:style>
  <w:style w:type="paragraph" w:customStyle="1" w:styleId="TemaPN">
    <w:name w:val="TemaPN"/>
    <w:next w:val="Normal"/>
    <w:autoRedefine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7088"/>
      </w:tabs>
      <w:autoSpaceDE w:val="0"/>
      <w:autoSpaceDN w:val="0"/>
      <w:spacing w:before="260"/>
      <w:ind w:left="737" w:hanging="907"/>
      <w:jc w:val="both"/>
    </w:pPr>
    <w:rPr>
      <w:rFonts w:ascii="Times New Roman" w:hAnsi="Times New Roman"/>
      <w:b/>
      <w:bCs/>
      <w:color w:val="000000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Pr>
      <w:rFonts w:ascii="Tahoma" w:hAnsi="Tahoma" w:cs="Tahoma"/>
      <w:sz w:val="16"/>
      <w:szCs w:val="16"/>
    </w:rPr>
  </w:style>
  <w:style w:type="paragraph" w:customStyle="1" w:styleId="Textoenun">
    <w:name w:val="Textoenun"/>
    <w:basedOn w:val="Normal"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</w:tabs>
      <w:ind w:left="737"/>
      <w:jc w:val="both"/>
    </w:pPr>
    <w:rPr>
      <w:sz w:val="28"/>
      <w:szCs w:val="28"/>
    </w:rPr>
  </w:style>
  <w:style w:type="paragraph" w:customStyle="1" w:styleId="NumProcesso">
    <w:name w:val="Num.Processo"/>
    <w:uiPriority w:val="99"/>
    <w:pPr>
      <w:widowControl w:val="0"/>
      <w:autoSpaceDE w:val="0"/>
      <w:autoSpaceDN w:val="0"/>
      <w:spacing w:before="170" w:line="360" w:lineRule="atLeast"/>
      <w:jc w:val="right"/>
    </w:pPr>
    <w:rPr>
      <w:rFonts w:ascii="Courier New" w:hAnsi="Courier New" w:cs="Courier New"/>
      <w:b/>
      <w:bCs/>
      <w:color w:val="000000"/>
      <w:sz w:val="24"/>
      <w:szCs w:val="24"/>
    </w:rPr>
  </w:style>
  <w:style w:type="character" w:styleId="nfase">
    <w:name w:val="Emphasis"/>
    <w:uiPriority w:val="99"/>
    <w:qFormat/>
    <w:rPr>
      <w:rFonts w:cs="Times New Roman"/>
      <w:i/>
      <w:iCs/>
    </w:rPr>
  </w:style>
  <w:style w:type="paragraph" w:customStyle="1" w:styleId="tema">
    <w:name w:val="tema"/>
    <w:link w:val="temaChar"/>
    <w:qFormat/>
    <w:pPr>
      <w:widowControl w:val="0"/>
      <w:autoSpaceDE w:val="0"/>
      <w:autoSpaceDN w:val="0"/>
      <w:spacing w:line="200" w:lineRule="exact"/>
      <w:ind w:left="567"/>
      <w:jc w:val="both"/>
    </w:pPr>
    <w:rPr>
      <w:rFonts w:ascii="Courier New" w:hAnsi="Courier New" w:cs="Courier New"/>
      <w:b/>
      <w:bCs/>
      <w:caps/>
      <w:color w:val="000000"/>
      <w:sz w:val="24"/>
      <w:szCs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  <w:szCs w:val="24"/>
    </w:rPr>
  </w:style>
  <w:style w:type="character" w:customStyle="1" w:styleId="moz-txt-tag">
    <w:name w:val="moz-txt-tag"/>
    <w:uiPriority w:val="99"/>
    <w:rPr>
      <w:rFonts w:cs="Times New Roman"/>
    </w:rPr>
  </w:style>
  <w:style w:type="paragraph" w:customStyle="1" w:styleId="EXPLICAO">
    <w:name w:val="EXPLICAÇÃO"/>
    <w:pPr>
      <w:widowControl w:val="0"/>
      <w:autoSpaceDE w:val="0"/>
      <w:autoSpaceDN w:val="0"/>
      <w:spacing w:line="230" w:lineRule="atLeast"/>
      <w:ind w:left="284"/>
      <w:jc w:val="both"/>
    </w:pPr>
    <w:rPr>
      <w:rFonts w:ascii="Courier New" w:hAnsi="Courier New" w:cs="Courier New"/>
      <w:i/>
      <w:iCs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Preformatted">
    <w:name w:val="Preformatted"/>
    <w:basedOn w:val="Normal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explicao0">
    <w:name w:val="explicação"/>
    <w:qFormat/>
    <w:rsid w:val="00553197"/>
    <w:pPr>
      <w:widowControl w:val="0"/>
      <w:tabs>
        <w:tab w:val="left" w:pos="5103"/>
        <w:tab w:val="left" w:pos="5245"/>
      </w:tabs>
      <w:spacing w:line="200" w:lineRule="exact"/>
      <w:ind w:left="284"/>
      <w:jc w:val="both"/>
    </w:pPr>
    <w:rPr>
      <w:rFonts w:ascii="Courier New" w:hAnsi="Courier New"/>
      <w:i/>
      <w:color w:val="000000"/>
      <w:sz w:val="24"/>
    </w:rPr>
  </w:style>
  <w:style w:type="paragraph" w:customStyle="1" w:styleId="Tabela">
    <w:name w:val="Tabela"/>
    <w:rsid w:val="00004C36"/>
    <w:pPr>
      <w:widowControl w:val="0"/>
      <w:spacing w:line="255" w:lineRule="atLeast"/>
      <w:jc w:val="both"/>
    </w:pPr>
    <w:rPr>
      <w:rFonts w:ascii="Courier New" w:hAnsi="Courier New"/>
      <w:caps/>
      <w:color w:val="000000"/>
      <w:sz w:val="24"/>
    </w:rPr>
  </w:style>
  <w:style w:type="character" w:customStyle="1" w:styleId="temaChar">
    <w:name w:val="tema Char"/>
    <w:link w:val="tema"/>
    <w:locked/>
    <w:rsid w:val="003908C5"/>
    <w:rPr>
      <w:rFonts w:ascii="Courier New" w:hAnsi="Courier New" w:cs="Courier New"/>
      <w:b/>
      <w:bCs/>
      <w:caps/>
      <w:color w:val="000000"/>
      <w:sz w:val="24"/>
      <w:szCs w:val="24"/>
      <w:lang w:val="pt-BR" w:eastAsia="pt-BR" w:bidi="ar-SA"/>
    </w:rPr>
  </w:style>
  <w:style w:type="character" w:customStyle="1" w:styleId="CorpoChar">
    <w:name w:val="Corpo Char"/>
    <w:link w:val="Corpo"/>
    <w:uiPriority w:val="99"/>
    <w:locked/>
    <w:rsid w:val="008D3C38"/>
    <w:rPr>
      <w:rFonts w:ascii="Courier New" w:hAnsi="Courier New" w:cs="Courier New"/>
      <w:color w:val="000000"/>
      <w:sz w:val="24"/>
      <w:szCs w:val="24"/>
      <w:lang w:val="en-US" w:eastAsia="pt-BR" w:bidi="ar-SA"/>
    </w:rPr>
  </w:style>
  <w:style w:type="character" w:styleId="HiperlinkVisitado">
    <w:name w:val="FollowedHyperlink"/>
    <w:uiPriority w:val="99"/>
    <w:semiHidden/>
    <w:unhideWhenUsed/>
    <w:rsid w:val="00586E1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7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ao5.tst.jus.br/consultaProcessual/consultaTstNumUnica.do?consulta=Consultar&amp;conscsjt=&amp;numeroTst=10203&amp;digitoTst=61&amp;anoTst=2013&amp;orgaoTst=5&amp;tribunalTst=03&amp;varaTst=0000" TargetMode="External"/><Relationship Id="rId13" Type="http://schemas.openxmlformats.org/officeDocument/2006/relationships/hyperlink" Target="https://aplicacao5.tst.jus.br/consultaProcessual/consultaTstNumUnica.do?consulta=Consultar&amp;conscsjt=&amp;numeroTst=49900&amp;digitoTst=47&amp;anoTst=2006&amp;orgaoTst=5&amp;tribunalTst=09&amp;varaTst=0007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aplicacao5.tst.jus.br/consultaProcessual/consultaTstNumUnica.do?consulta=Consultar&amp;conscsjt=&amp;numeroTst=4042000&amp;digitoTst=40&amp;anoTst=2009&amp;orgaoTst=5&amp;tribunalTst=09&amp;varaTst=0006" TargetMode="External"/><Relationship Id="rId17" Type="http://schemas.openxmlformats.org/officeDocument/2006/relationships/hyperlink" Target="https://aplicacao5.tst.jus.br/consultaProcessual/consultaTstNumUnica.do?consulta=Consultar&amp;conscsjt=&amp;numeroTst=7552&amp;digitoTst=20&amp;anoTst=2012&amp;orgaoTst=5&amp;tribunalTst=02&amp;varaTst=0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licacao5.tst.jus.br/consultaProcessual/consultaTstNumUnica.do?consulta=Consultar&amp;conscsjt=&amp;numeroTst=132800&amp;digitoTst=68&amp;anoTst=2009&amp;orgaoTst=5&amp;tribunalTst=15&amp;varaTst=0087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licacao5.tst.jus.br/consultaProcessual/consultaTstNumUnica.do?consulta=Consultar&amp;conscsjt=&amp;numeroTst=15500&amp;digitoTst=45&amp;anoTst=2008&amp;orgaoTst=5&amp;tribunalTst=20&amp;varaTst=00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licacao5.tst.jus.br/consultaProcessual/consultaTstNumUnica.do?consulta=Consultar&amp;conscsjt=&amp;numeroTst=190500&amp;digitoTst=68&amp;anoTst=2009&amp;orgaoTst=5&amp;tribunalTst=09&amp;varaTst=002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plicacao5.tst.jus.br/consultaProcessual/consultaTstNumUnica.do?consulta=Consultar&amp;conscsjt=&amp;numeroTst=11501&amp;digitoTst=23&amp;anoTst=2010&amp;orgaoTst=5&amp;tribunalTst=02&amp;varaTst=000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plicacao5.tst.jus.br/consultaProcessual/consultaTstNumUnica.do?consulta=Consultar&amp;conscsjt=&amp;numeroTst=1100&amp;digitoTst=40&amp;anoTst=2013&amp;orgaoTst=5&amp;tribunalTst=17&amp;varaTst=0000" TargetMode="External"/><Relationship Id="rId14" Type="http://schemas.openxmlformats.org/officeDocument/2006/relationships/hyperlink" Target="https://aplicacao5.tst.jus.br/consultaProcessual/consultaTstNumUnica.do?consulta=Consultar&amp;conscsjt=&amp;numeroTst=42400&amp;digitoTst=93&amp;anoTst=2003&amp;orgaoTst=5&amp;tribunalTst=17&amp;varaTst=0141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75D7F-8AC6-4F1A-B50A-02335557B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2620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Este Informativo, elaborado a partir de notas tomadas nas sessões de julgamentos, contém resumos não-oficiais de decisões proferidas pelo Tribunal</vt:lpstr>
    </vt:vector>
  </TitlesOfParts>
  <Company>Tribunal Superior do Trabalho</Company>
  <LinksUpToDate>false</LinksUpToDate>
  <CharactersWithSpaces>16740</CharactersWithSpaces>
  <SharedDoc>false</SharedDoc>
  <HLinks>
    <vt:vector size="60" baseType="variant">
      <vt:variant>
        <vt:i4>6881404</vt:i4>
      </vt:variant>
      <vt:variant>
        <vt:i4>27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https://aplicacao5.tst.jus.br/consultaProcessual/consultaTstNumUnica.do?consulta=Consultar&amp;conscsjt=&amp;numeroTst=7552&amp;digitoTst=20&amp;anoTst=2012&amp;orgaoTst=5&amp;tribunalTst=02&amp;varaTst=0000</vt:lpwstr>
      </vt:variant>
      <vt:variant>
        <vt:lpwstr/>
      </vt:variant>
      <vt:variant>
        <vt:i4>5505092</vt:i4>
      </vt:variant>
      <vt:variant>
        <vt:i4>24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https://aplicacao5.tst.jus.br/consultaProcessual/consultaTstNumUnica.do?consulta=Consultar&amp;conscsjt=&amp;numeroTst=132800&amp;digitoTst=68&amp;anoTst=2009&amp;orgaoTst=5&amp;tribunalTst=15&amp;varaTst=0087</vt:lpwstr>
      </vt:variant>
      <vt:variant>
        <vt:lpwstr/>
      </vt:variant>
      <vt:variant>
        <vt:i4>5242946</vt:i4>
      </vt:variant>
      <vt:variant>
        <vt:i4>21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https://aplicacao5.tst.jus.br/consultaProcessual/consultaTstNumUnica.do?consulta=Consultar&amp;conscsjt=&amp;numeroTst=190500&amp;digitoTst=68&amp;anoTst=2009&amp;orgaoTst=5&amp;tribunalTst=09&amp;varaTst=0022</vt:lpwstr>
      </vt:variant>
      <vt:variant>
        <vt:lpwstr/>
      </vt:variant>
      <vt:variant>
        <vt:i4>2031621</vt:i4>
      </vt:variant>
      <vt:variant>
        <vt:i4>18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https://aplicacao5.tst.jus.br/consultaProcessual/consultaTstNumUnica.do?consulta=Consultar&amp;conscsjt=&amp;numeroTst=42400&amp;digitoTst=93&amp;anoTst=2003&amp;orgaoTst=5&amp;tribunalTst=17&amp;varaTst=0141</vt:lpwstr>
      </vt:variant>
      <vt:variant>
        <vt:lpwstr/>
      </vt:variant>
      <vt:variant>
        <vt:i4>1638405</vt:i4>
      </vt:variant>
      <vt:variant>
        <vt:i4>15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https://aplicacao5.tst.jus.br/consultaProcessual/consultaTstNumUnica.do?consulta=Consultar&amp;conscsjt=&amp;numeroTst=49900&amp;digitoTst=47&amp;anoTst=2006&amp;orgaoTst=5&amp;tribunalTst=09&amp;varaTst=0007</vt:lpwstr>
      </vt:variant>
      <vt:variant>
        <vt:lpwstr/>
      </vt:variant>
      <vt:variant>
        <vt:i4>2424886</vt:i4>
      </vt:variant>
      <vt:variant>
        <vt:i4>12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https://aplicacao5.tst.jus.br/consultaProcessual/consultaTstNumUnica.do?consulta=Consultar&amp;conscsjt=&amp;numeroTst=4042000&amp;digitoTst=40&amp;anoTst=2009&amp;orgaoTst=5&amp;tribunalTst=09&amp;varaTst=0006</vt:lpwstr>
      </vt:variant>
      <vt:variant>
        <vt:lpwstr/>
      </vt:variant>
      <vt:variant>
        <vt:i4>1507340</vt:i4>
      </vt:variant>
      <vt:variant>
        <vt:i4>9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https://aplicacao5.tst.jus.br/consultaProcessual/consultaTstNumUnica.do?consulta=Consultar&amp;conscsjt=&amp;numeroTst=15500&amp;digitoTst=45&amp;anoTst=2008&amp;orgaoTst=5&amp;tribunalTst=20&amp;varaTst=0002</vt:lpwstr>
      </vt:variant>
      <vt:variant>
        <vt:lpwstr/>
      </vt:variant>
      <vt:variant>
        <vt:i4>1114116</vt:i4>
      </vt:variant>
      <vt:variant>
        <vt:i4>6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https://aplicacao5.tst.jus.br/consultaProcessual/consultaTstNumUnica.do?consulta=Consultar&amp;conscsjt=&amp;numeroTst=11501&amp;digitoTst=23&amp;anoTst=2010&amp;orgaoTst=5&amp;tribunalTst=02&amp;varaTst=0000</vt:lpwstr>
      </vt:variant>
      <vt:variant>
        <vt:lpwstr/>
      </vt:variant>
      <vt:variant>
        <vt:i4>7209085</vt:i4>
      </vt:variant>
      <vt:variant>
        <vt:i4>3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https://aplicacao5.tst.jus.br/consultaProcessual/consultaTstNumUnica.do?consulta=Consultar&amp;conscsjt=&amp;numeroTst=1100&amp;digitoTst=40&amp;anoTst=2013&amp;orgaoTst=5&amp;tribunalTst=17&amp;varaTst=0000</vt:lpwstr>
      </vt:variant>
      <vt:variant>
        <vt:lpwstr/>
      </vt:variant>
      <vt:variant>
        <vt:i4>1048581</vt:i4>
      </vt:variant>
      <vt:variant>
        <vt:i4>0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https://aplicacao5.tst.jus.br/consultaProcessual/consultaTstNumUnica.do?consulta=Consultar&amp;conscsjt=&amp;numeroTst=10203&amp;digitoTst=61&amp;anoTst=2013&amp;orgaoTst=5&amp;tribunalTst=03&amp;varaTst=0000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Este Informativo, elaborado a partir de notas tomadas nas sessões de julgamentos, contém resumos não-oficiais de decisões proferidas pelo Tribunal</dc:title>
  <dc:subject/>
  <dc:creator>C037163</dc:creator>
  <cp:keywords/>
  <cp:lastModifiedBy>c041658</cp:lastModifiedBy>
  <cp:revision>2</cp:revision>
  <cp:lastPrinted>2014-09-10T18:37:00Z</cp:lastPrinted>
  <dcterms:created xsi:type="dcterms:W3CDTF">2018-06-27T21:47:00Z</dcterms:created>
  <dcterms:modified xsi:type="dcterms:W3CDTF">2018-06-27T21:47:00Z</dcterms:modified>
</cp:coreProperties>
</file>