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Default="00C26DFB" w:rsidP="00DC50EB">
            <w:pPr>
              <w:pStyle w:val="Cabealho"/>
              <w:tabs>
                <w:tab w:val="clear" w:pos="4419"/>
                <w:tab w:val="clear" w:pos="8838"/>
              </w:tabs>
              <w:jc w:val="both"/>
              <w:rPr>
                <w:sz w:val="16"/>
                <w:szCs w:val="16"/>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p w:rsidR="004C67CE" w:rsidRPr="00187A37" w:rsidRDefault="004C67CE" w:rsidP="00DC50EB">
            <w:pPr>
              <w:pStyle w:val="Cabealho"/>
              <w:tabs>
                <w:tab w:val="clear" w:pos="4419"/>
                <w:tab w:val="clear" w:pos="8838"/>
              </w:tabs>
              <w:jc w:val="both"/>
              <w:rPr>
                <w:sz w:val="10"/>
                <w:szCs w:val="10"/>
              </w:rPr>
            </w:pPr>
          </w:p>
        </w:tc>
      </w:tr>
    </w:tbl>
    <w:p w:rsidR="00631F1C" w:rsidRPr="00971E07" w:rsidRDefault="00D56E38"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SEÇÃO DE DISSÍDIO COLETIVO</w:t>
      </w:r>
    </w:p>
    <w:p w:rsidR="0094620A" w:rsidRPr="00245D06" w:rsidRDefault="0094620A" w:rsidP="0094620A">
      <w:pPr>
        <w:jc w:val="both"/>
        <w:rPr>
          <w:b/>
          <w:i/>
        </w:rPr>
      </w:pPr>
    </w:p>
    <w:p w:rsidR="00A21CF2" w:rsidRDefault="00A21CF2" w:rsidP="00A21CF2">
      <w:pPr>
        <w:jc w:val="both"/>
        <w:rPr>
          <w:b/>
          <w:i/>
          <w:sz w:val="24"/>
          <w:szCs w:val="24"/>
        </w:rPr>
      </w:pPr>
      <w:r>
        <w:rPr>
          <w:b/>
          <w:i/>
          <w:sz w:val="24"/>
          <w:szCs w:val="24"/>
        </w:rPr>
        <w:t>Dissídio coletivo. Greve. Celebração de ajuste entre as partes. Ratificação do interesse na declaração de abusividade da greve. Extinção do processo sem resolução do mérito. Impossibilidade.</w:t>
      </w:r>
    </w:p>
    <w:p w:rsidR="00A21CF2" w:rsidRPr="002736F7" w:rsidRDefault="00A21CF2" w:rsidP="00A21CF2">
      <w:pPr>
        <w:jc w:val="both"/>
        <w:rPr>
          <w:sz w:val="24"/>
          <w:szCs w:val="24"/>
        </w:rPr>
      </w:pPr>
      <w:r>
        <w:rPr>
          <w:sz w:val="24"/>
          <w:szCs w:val="24"/>
        </w:rPr>
        <w:t xml:space="preserve">A celebração de ajuste entre as partes no curso de processo de dissídio coletivo de greve, com o consequente encerramento desta, não importa, necessariamente, em extinção do feito sem resolução do mérito, por falta de interesse processual, uma vez que os abusos cometidos no exercício desse direito sujeitam os responsáveis às penas de lei, nos termos do § 2º do art. 9º da CF. Assim, havendo ratificação da pretensão de declaração de abusividade do movimento paredista, permanece o interesse processual da parte na obtenção do provimento declaratório, somente alcançável judicialmente, especialmente na hipótese em que houve supostos excessos na condução da greve e alegação de desrespeito a ordem judicial expedida para regular os efeitos da paralisação. Com esse entendimento, </w:t>
      </w:r>
      <w:r w:rsidRPr="002736F7">
        <w:rPr>
          <w:sz w:val="24"/>
          <w:szCs w:val="24"/>
        </w:rPr>
        <w:t xml:space="preserve">a </w:t>
      </w:r>
      <w:r>
        <w:rPr>
          <w:sz w:val="24"/>
          <w:szCs w:val="24"/>
        </w:rPr>
        <w:t xml:space="preserve">SDC, </w:t>
      </w:r>
      <w:r w:rsidRPr="002736F7">
        <w:rPr>
          <w:sz w:val="24"/>
          <w:szCs w:val="24"/>
        </w:rPr>
        <w:t xml:space="preserve">por unanimidade, </w:t>
      </w:r>
      <w:r>
        <w:rPr>
          <w:sz w:val="24"/>
          <w:szCs w:val="24"/>
        </w:rPr>
        <w:t xml:space="preserve">deu provimento ao recurso ordinário interposto pelo Sindicato da Indústria da Construção Civil do Ceará – Sinduscon/CE para afastar o decreto de extinção do processo sem resolução do mérito, por falta de interesse processual, e determinar o retorno dos autos ao Tribunal Regional de origem, a fim de que prossiga no julgamento do dissídio coletivo de greve como entender de direito. </w:t>
      </w:r>
      <w:hyperlink r:id="rId8" w:history="1">
        <w:r w:rsidRPr="003927F8">
          <w:rPr>
            <w:rStyle w:val="Hyperlink"/>
            <w:sz w:val="24"/>
            <w:szCs w:val="24"/>
          </w:rPr>
          <w:t>TST-RO-3675-34.2012.5.07.0000</w:t>
        </w:r>
      </w:hyperlink>
      <w:r w:rsidRPr="00263320">
        <w:rPr>
          <w:sz w:val="24"/>
          <w:szCs w:val="24"/>
          <w:u w:val="single"/>
        </w:rPr>
        <w:t>, S</w:t>
      </w:r>
      <w:r>
        <w:rPr>
          <w:sz w:val="24"/>
          <w:szCs w:val="24"/>
          <w:u w:val="single"/>
        </w:rPr>
        <w:t>DC</w:t>
      </w:r>
      <w:r w:rsidRPr="00263320">
        <w:rPr>
          <w:sz w:val="24"/>
          <w:szCs w:val="24"/>
          <w:u w:val="single"/>
        </w:rPr>
        <w:t xml:space="preserve">, rel. Min. </w:t>
      </w:r>
      <w:r>
        <w:rPr>
          <w:sz w:val="24"/>
          <w:szCs w:val="24"/>
          <w:u w:val="single"/>
        </w:rPr>
        <w:t>Fernando Eizo Ono</w:t>
      </w:r>
      <w:r w:rsidRPr="00263320">
        <w:rPr>
          <w:sz w:val="24"/>
          <w:szCs w:val="24"/>
          <w:u w:val="single"/>
        </w:rPr>
        <w:t xml:space="preserve">, </w:t>
      </w:r>
      <w:r>
        <w:rPr>
          <w:sz w:val="24"/>
          <w:szCs w:val="24"/>
          <w:u w:val="single"/>
        </w:rPr>
        <w:t>9</w:t>
      </w:r>
      <w:r w:rsidRPr="00263320">
        <w:rPr>
          <w:sz w:val="24"/>
          <w:szCs w:val="24"/>
          <w:u w:val="single"/>
        </w:rPr>
        <w:t>.</w:t>
      </w:r>
      <w:r>
        <w:rPr>
          <w:sz w:val="24"/>
          <w:szCs w:val="24"/>
          <w:u w:val="single"/>
        </w:rPr>
        <w:t>6</w:t>
      </w:r>
      <w:r w:rsidRPr="00263320">
        <w:rPr>
          <w:sz w:val="24"/>
          <w:szCs w:val="24"/>
          <w:u w:val="single"/>
        </w:rPr>
        <w:t>.2014</w:t>
      </w:r>
    </w:p>
    <w:p w:rsidR="00A21CF2" w:rsidRPr="00245D06" w:rsidRDefault="00A21CF2" w:rsidP="0094620A">
      <w:pPr>
        <w:jc w:val="both"/>
        <w:rPr>
          <w:b/>
          <w:i/>
        </w:rPr>
      </w:pPr>
    </w:p>
    <w:p w:rsidR="00A21CF2" w:rsidRDefault="00A21CF2" w:rsidP="00A21CF2">
      <w:pPr>
        <w:ind w:right="-1"/>
        <w:jc w:val="both"/>
        <w:rPr>
          <w:b/>
          <w:i/>
          <w:sz w:val="24"/>
          <w:szCs w:val="24"/>
        </w:rPr>
      </w:pPr>
      <w:r>
        <w:rPr>
          <w:b/>
          <w:i/>
          <w:sz w:val="24"/>
          <w:szCs w:val="24"/>
        </w:rPr>
        <w:t>Dissídio coletivo. Comissão de sindicância. Participação obrigatória do sindicato profissional. Impossibilidade. Cláusula excluída.</w:t>
      </w:r>
    </w:p>
    <w:p w:rsidR="00A21CF2" w:rsidRPr="00846E7C" w:rsidRDefault="00A21CF2" w:rsidP="00A21CF2">
      <w:pPr>
        <w:pStyle w:val="Transcrio"/>
        <w:spacing w:line="240" w:lineRule="auto"/>
        <w:ind w:left="0" w:firstLine="0"/>
        <w:rPr>
          <w:u w:val="single"/>
          <w:lang w:val="pt-BR"/>
        </w:rPr>
      </w:pPr>
      <w:r>
        <w:rPr>
          <w:lang w:val="pt-BR"/>
        </w:rPr>
        <w:t>A SDC, por maioria, deu provimento a recurso ordinário para excluir cláusula que previa a convocação obrigatória do Sindicato dos Trabalhadores em Água, Esgoto e Meio Ambiente do Estado de São Paulo - Sintaema para compor toda e qualquer comissão de sindicância que envolva os trabalhadores da Fundação para a Conservação e a Produção Florestal do Estado de São Paulo, ao argumento de que haveria uma quebra de imparcialidade, pois é dever do sindicato defender os integrantes da categoria profissional. Vencidos, no tópico, os Ministros Kátia Magalhães Arruda, relatora, e Maurício Godinho Delgado, que negavam provimento ao recurso ordinário para manter a cláusula, pois</w:t>
      </w:r>
      <w:r w:rsidR="003927F8">
        <w:rPr>
          <w:lang w:val="pt-BR"/>
        </w:rPr>
        <w:t>,</w:t>
      </w:r>
      <w:r>
        <w:rPr>
          <w:lang w:val="pt-BR"/>
        </w:rPr>
        <w:t xml:space="preserve"> além de não ter cunho econômico</w:t>
      </w:r>
      <w:r w:rsidR="003927F8">
        <w:rPr>
          <w:lang w:val="pt-BR"/>
        </w:rPr>
        <w:t>,</w:t>
      </w:r>
      <w:r>
        <w:rPr>
          <w:lang w:val="pt-BR"/>
        </w:rPr>
        <w:t xml:space="preserve"> está em harmonia com a atribuição dos sindicatos de que trata o inciso III do art. 8º da CF. </w:t>
      </w:r>
      <w:hyperlink r:id="rId9" w:history="1">
        <w:r w:rsidRPr="003927F8">
          <w:rPr>
            <w:rStyle w:val="Hyperlink"/>
            <w:lang w:val="pt-BR"/>
          </w:rPr>
          <w:t>TST-RO-6937-30.2012.5.02.0000</w:t>
        </w:r>
      </w:hyperlink>
      <w:r>
        <w:rPr>
          <w:u w:val="single"/>
          <w:lang w:val="pt-BR"/>
        </w:rPr>
        <w:t>, SDC, rel. Min. Kátia Magalhães Arruda, 9.6.2014</w:t>
      </w:r>
    </w:p>
    <w:p w:rsidR="00A21CF2" w:rsidRPr="00245D06" w:rsidRDefault="00A21CF2" w:rsidP="0094620A">
      <w:pPr>
        <w:pStyle w:val="Corpo"/>
        <w:spacing w:line="240" w:lineRule="auto"/>
        <w:ind w:firstLine="0"/>
        <w:rPr>
          <w:rFonts w:ascii="Times New Roman" w:hAnsi="Times New Roman"/>
          <w:sz w:val="20"/>
          <w:szCs w:val="20"/>
          <w:u w:val="single"/>
          <w:lang w:val="pt-BR"/>
        </w:rPr>
      </w:pPr>
    </w:p>
    <w:p w:rsidR="00A21CF2" w:rsidRPr="003B35BC" w:rsidRDefault="00A21CF2" w:rsidP="00A21CF2">
      <w:pPr>
        <w:jc w:val="both"/>
        <w:rPr>
          <w:b/>
          <w:i/>
          <w:sz w:val="24"/>
          <w:szCs w:val="24"/>
        </w:rPr>
      </w:pPr>
      <w:r w:rsidRPr="003B35BC">
        <w:rPr>
          <w:b/>
          <w:i/>
          <w:sz w:val="24"/>
          <w:szCs w:val="24"/>
        </w:rPr>
        <w:t>Dissídio</w:t>
      </w:r>
      <w:r>
        <w:rPr>
          <w:b/>
          <w:i/>
          <w:sz w:val="24"/>
          <w:szCs w:val="24"/>
        </w:rPr>
        <w:t xml:space="preserve"> coletivo. Greve</w:t>
      </w:r>
      <w:r w:rsidRPr="003B35BC">
        <w:rPr>
          <w:b/>
          <w:i/>
          <w:sz w:val="24"/>
          <w:szCs w:val="24"/>
        </w:rPr>
        <w:t xml:space="preserve">. Nomeação para reitor da </w:t>
      </w:r>
      <w:r>
        <w:rPr>
          <w:b/>
          <w:i/>
          <w:sz w:val="24"/>
          <w:szCs w:val="24"/>
        </w:rPr>
        <w:t>P</w:t>
      </w:r>
      <w:r w:rsidRPr="003B35BC">
        <w:rPr>
          <w:b/>
          <w:i/>
          <w:sz w:val="24"/>
          <w:szCs w:val="24"/>
        </w:rPr>
        <w:t xml:space="preserve">ontifícia </w:t>
      </w:r>
      <w:r>
        <w:rPr>
          <w:b/>
          <w:i/>
          <w:sz w:val="24"/>
          <w:szCs w:val="24"/>
        </w:rPr>
        <w:t>U</w:t>
      </w:r>
      <w:r w:rsidRPr="003B35BC">
        <w:rPr>
          <w:b/>
          <w:i/>
          <w:sz w:val="24"/>
          <w:szCs w:val="24"/>
        </w:rPr>
        <w:t xml:space="preserve">niversidade </w:t>
      </w:r>
      <w:r>
        <w:rPr>
          <w:b/>
          <w:i/>
          <w:sz w:val="24"/>
          <w:szCs w:val="24"/>
        </w:rPr>
        <w:t>C</w:t>
      </w:r>
      <w:r w:rsidRPr="003B35BC">
        <w:rPr>
          <w:b/>
          <w:i/>
          <w:sz w:val="24"/>
          <w:szCs w:val="24"/>
        </w:rPr>
        <w:t xml:space="preserve">atólica de </w:t>
      </w:r>
      <w:r>
        <w:rPr>
          <w:b/>
          <w:i/>
          <w:sz w:val="24"/>
          <w:szCs w:val="24"/>
        </w:rPr>
        <w:t>S</w:t>
      </w:r>
      <w:r w:rsidRPr="003B35BC">
        <w:rPr>
          <w:b/>
          <w:i/>
          <w:sz w:val="24"/>
          <w:szCs w:val="24"/>
        </w:rPr>
        <w:t xml:space="preserve">ão </w:t>
      </w:r>
      <w:r>
        <w:rPr>
          <w:b/>
          <w:i/>
          <w:sz w:val="24"/>
          <w:szCs w:val="24"/>
        </w:rPr>
        <w:t>P</w:t>
      </w:r>
      <w:r w:rsidRPr="003B35BC">
        <w:rPr>
          <w:b/>
          <w:i/>
          <w:sz w:val="24"/>
          <w:szCs w:val="24"/>
        </w:rPr>
        <w:t>aulo -</w:t>
      </w:r>
      <w:r>
        <w:rPr>
          <w:b/>
          <w:i/>
          <w:sz w:val="24"/>
          <w:szCs w:val="24"/>
        </w:rPr>
        <w:t xml:space="preserve"> PUC</w:t>
      </w:r>
      <w:r w:rsidRPr="003B35BC">
        <w:rPr>
          <w:b/>
          <w:i/>
          <w:sz w:val="24"/>
          <w:szCs w:val="24"/>
        </w:rPr>
        <w:t>. Protesto com motivação política. Abusividade</w:t>
      </w:r>
      <w:r>
        <w:rPr>
          <w:b/>
          <w:i/>
          <w:sz w:val="24"/>
          <w:szCs w:val="24"/>
        </w:rPr>
        <w:t xml:space="preserve"> material</w:t>
      </w:r>
      <w:r w:rsidRPr="003B35BC">
        <w:rPr>
          <w:b/>
          <w:i/>
          <w:sz w:val="24"/>
          <w:szCs w:val="24"/>
        </w:rPr>
        <w:t xml:space="preserve"> da paralisação.</w:t>
      </w:r>
    </w:p>
    <w:p w:rsidR="00A21CF2" w:rsidRPr="00AD0807" w:rsidRDefault="00A21CF2" w:rsidP="00A21CF2">
      <w:pPr>
        <w:pStyle w:val="Corpo"/>
        <w:spacing w:line="240" w:lineRule="auto"/>
        <w:ind w:firstLine="0"/>
        <w:rPr>
          <w:rFonts w:ascii="Times New Roman" w:eastAsia="Calibri" w:hAnsi="Times New Roman" w:cs="Times New Roman"/>
          <w:color w:val="auto"/>
          <w:u w:val="single"/>
          <w:lang w:val="pt-BR" w:eastAsia="en-US"/>
        </w:rPr>
      </w:pPr>
      <w:r>
        <w:rPr>
          <w:rFonts w:ascii="Times New Roman" w:eastAsia="Calibri" w:hAnsi="Times New Roman" w:cs="Times New Roman"/>
          <w:color w:val="auto"/>
          <w:lang w:val="pt-BR" w:eastAsia="en-US"/>
        </w:rPr>
        <w:t>Embora a Constituição da República, em seu art. 9º, assegure</w:t>
      </w:r>
      <w:r w:rsidRPr="008C0F2E">
        <w:rPr>
          <w:rFonts w:ascii="Times New Roman" w:eastAsia="Calibri" w:hAnsi="Times New Roman" w:cs="Times New Roman"/>
          <w:color w:val="auto"/>
          <w:lang w:val="pt-BR" w:eastAsia="en-US"/>
        </w:rPr>
        <w:t xml:space="preserve"> o direito de greve</w:t>
      </w:r>
      <w:r>
        <w:rPr>
          <w:rFonts w:ascii="Times New Roman" w:eastAsia="Calibri" w:hAnsi="Times New Roman" w:cs="Times New Roman"/>
          <w:color w:val="auto"/>
          <w:lang w:val="pt-BR" w:eastAsia="en-US"/>
        </w:rPr>
        <w:t xml:space="preserve"> de forma ampla, </w:t>
      </w:r>
      <w:r w:rsidRPr="008C0F2E">
        <w:rPr>
          <w:rFonts w:ascii="Times New Roman" w:eastAsia="Calibri" w:hAnsi="Times New Roman" w:cs="Times New Roman"/>
          <w:color w:val="auto"/>
          <w:lang w:val="pt-BR" w:eastAsia="en-US"/>
        </w:rPr>
        <w:t xml:space="preserve">os interesses suscetíveis de serem defendidos por meio </w:t>
      </w:r>
      <w:r>
        <w:rPr>
          <w:rFonts w:ascii="Times New Roman" w:eastAsia="Calibri" w:hAnsi="Times New Roman" w:cs="Times New Roman"/>
          <w:color w:val="auto"/>
          <w:lang w:val="pt-BR" w:eastAsia="en-US"/>
        </w:rPr>
        <w:t>do movimento paredista</w:t>
      </w:r>
      <w:r w:rsidRPr="008C0F2E">
        <w:rPr>
          <w:rFonts w:ascii="Times New Roman" w:eastAsia="Calibri" w:hAnsi="Times New Roman" w:cs="Times New Roman"/>
          <w:color w:val="auto"/>
          <w:lang w:val="pt-BR" w:eastAsia="en-US"/>
        </w:rPr>
        <w:t xml:space="preserve"> dizem respeito a condições próprias de trabalho profissional ou de normas de higiene, saúde e segurança no ambiente de trabalho</w:t>
      </w:r>
      <w:r>
        <w:rPr>
          <w:rFonts w:ascii="Times New Roman" w:eastAsia="Calibri" w:hAnsi="Times New Roman" w:cs="Times New Roman"/>
          <w:color w:val="auto"/>
          <w:lang w:val="pt-BR" w:eastAsia="en-US"/>
        </w:rPr>
        <w:t>. No caso em exame,</w:t>
      </w:r>
      <w:r w:rsidRPr="008C0F2E">
        <w:rPr>
          <w:rFonts w:ascii="Times New Roman" w:eastAsia="Calibri" w:hAnsi="Times New Roman" w:cs="Times New Roman"/>
          <w:color w:val="auto"/>
          <w:lang w:val="pt-BR" w:eastAsia="en-US"/>
        </w:rPr>
        <w:t xml:space="preserve"> professores e auxiliares administrativos da P</w:t>
      </w:r>
      <w:r>
        <w:rPr>
          <w:rFonts w:ascii="Times New Roman" w:eastAsia="Calibri" w:hAnsi="Times New Roman" w:cs="Times New Roman"/>
          <w:color w:val="auto"/>
          <w:lang w:val="pt-BR" w:eastAsia="en-US"/>
        </w:rPr>
        <w:t>ontifícia Universidade Católica de São Paulo - P</w:t>
      </w:r>
      <w:r w:rsidRPr="008C0F2E">
        <w:rPr>
          <w:rFonts w:ascii="Times New Roman" w:eastAsia="Calibri" w:hAnsi="Times New Roman" w:cs="Times New Roman"/>
          <w:color w:val="auto"/>
          <w:lang w:val="pt-BR" w:eastAsia="en-US"/>
        </w:rPr>
        <w:t>UC se utilizaram da greve como meio de protesto pela não nomeação</w:t>
      </w:r>
      <w:r w:rsidR="002D34F7">
        <w:rPr>
          <w:rFonts w:ascii="Times New Roman" w:eastAsia="Calibri" w:hAnsi="Times New Roman" w:cs="Times New Roman"/>
          <w:color w:val="auto"/>
          <w:lang w:val="pt-BR" w:eastAsia="en-US"/>
        </w:rPr>
        <w:t>,</w:t>
      </w:r>
      <w:r w:rsidRPr="008C0F2E">
        <w:rPr>
          <w:rFonts w:ascii="Times New Roman" w:eastAsia="Calibri" w:hAnsi="Times New Roman" w:cs="Times New Roman"/>
          <w:color w:val="auto"/>
          <w:lang w:val="pt-BR" w:eastAsia="en-US"/>
        </w:rPr>
        <w:t xml:space="preserve"> para o cargo de reitor</w:t>
      </w:r>
      <w:r w:rsidR="002D34F7">
        <w:rPr>
          <w:rFonts w:ascii="Times New Roman" w:eastAsia="Calibri" w:hAnsi="Times New Roman" w:cs="Times New Roman"/>
          <w:color w:val="auto"/>
          <w:lang w:val="pt-BR" w:eastAsia="en-US"/>
        </w:rPr>
        <w:t>,</w:t>
      </w:r>
      <w:r w:rsidRPr="008C0F2E">
        <w:rPr>
          <w:rFonts w:ascii="Times New Roman" w:eastAsia="Calibri" w:hAnsi="Times New Roman" w:cs="Times New Roman"/>
          <w:color w:val="auto"/>
          <w:lang w:val="pt-BR" w:eastAsia="en-US"/>
        </w:rPr>
        <w:t xml:space="preserve"> do candidato que figurou no topo da lista tríplice, embora admitam que a escolha d</w:t>
      </w:r>
      <w:r>
        <w:rPr>
          <w:rFonts w:ascii="Times New Roman" w:eastAsia="Calibri" w:hAnsi="Times New Roman" w:cs="Times New Roman"/>
          <w:color w:val="auto"/>
          <w:lang w:val="pt-BR" w:eastAsia="en-US"/>
        </w:rPr>
        <w:t>a</w:t>
      </w:r>
      <w:r w:rsidRPr="008C0F2E">
        <w:rPr>
          <w:rFonts w:ascii="Times New Roman" w:eastAsia="Calibri" w:hAnsi="Times New Roman" w:cs="Times New Roman"/>
          <w:color w:val="auto"/>
          <w:lang w:val="pt-BR" w:eastAsia="en-US"/>
        </w:rPr>
        <w:t xml:space="preserve"> candidat</w:t>
      </w:r>
      <w:r>
        <w:rPr>
          <w:rFonts w:ascii="Times New Roman" w:eastAsia="Calibri" w:hAnsi="Times New Roman" w:cs="Times New Roman"/>
          <w:color w:val="auto"/>
          <w:lang w:val="pt-BR" w:eastAsia="en-US"/>
        </w:rPr>
        <w:t>a</w:t>
      </w:r>
      <w:r w:rsidRPr="008C0F2E">
        <w:rPr>
          <w:rFonts w:ascii="Times New Roman" w:eastAsia="Calibri" w:hAnsi="Times New Roman" w:cs="Times New Roman"/>
          <w:color w:val="auto"/>
          <w:lang w:val="pt-BR" w:eastAsia="en-US"/>
        </w:rPr>
        <w:t xml:space="preserve"> menos votad</w:t>
      </w:r>
      <w:r>
        <w:rPr>
          <w:rFonts w:ascii="Times New Roman" w:eastAsia="Calibri" w:hAnsi="Times New Roman" w:cs="Times New Roman"/>
          <w:color w:val="auto"/>
          <w:lang w:val="pt-BR" w:eastAsia="en-US"/>
        </w:rPr>
        <w:t>a</w:t>
      </w:r>
      <w:r w:rsidRPr="008C0F2E">
        <w:rPr>
          <w:rFonts w:ascii="Times New Roman" w:eastAsia="Calibri" w:hAnsi="Times New Roman" w:cs="Times New Roman"/>
          <w:color w:val="auto"/>
          <w:lang w:val="pt-BR" w:eastAsia="en-US"/>
        </w:rPr>
        <w:t xml:space="preserve"> ob</w:t>
      </w:r>
      <w:r>
        <w:rPr>
          <w:rFonts w:ascii="Times New Roman" w:eastAsia="Calibri" w:hAnsi="Times New Roman" w:cs="Times New Roman"/>
          <w:color w:val="auto"/>
          <w:lang w:val="pt-BR" w:eastAsia="en-US"/>
        </w:rPr>
        <w:t>servou as normas regulamentares. Portanto, a greve</w:t>
      </w:r>
      <w:r w:rsidRPr="008C0F2E">
        <w:rPr>
          <w:rFonts w:ascii="Times New Roman" w:eastAsia="Calibri" w:hAnsi="Times New Roman" w:cs="Times New Roman"/>
          <w:color w:val="auto"/>
          <w:lang w:val="pt-BR" w:eastAsia="en-US"/>
        </w:rPr>
        <w:t xml:space="preserve"> não teve por objeto a criação de normas ou condições contratuais ou ambientais de trabalho, mas se tratou de </w:t>
      </w:r>
      <w:r w:rsidRPr="008C0F2E">
        <w:rPr>
          <w:rFonts w:ascii="Times New Roman" w:eastAsia="Calibri" w:hAnsi="Times New Roman" w:cs="Times New Roman"/>
          <w:color w:val="auto"/>
          <w:lang w:val="pt-BR" w:eastAsia="en-US"/>
        </w:rPr>
        <w:lastRenderedPageBreak/>
        <w:t>movimento de protesto, com caráter claramente político, extrapolando o âmbito laboral e denotando a abusividade material da paralisação</w:t>
      </w:r>
      <w:r>
        <w:rPr>
          <w:rFonts w:ascii="Times New Roman" w:eastAsia="Calibri" w:hAnsi="Times New Roman" w:cs="Times New Roman"/>
          <w:color w:val="auto"/>
          <w:lang w:val="pt-BR" w:eastAsia="en-US"/>
        </w:rPr>
        <w:t xml:space="preserve">, </w:t>
      </w:r>
      <w:r w:rsidRPr="008C0F2E">
        <w:rPr>
          <w:rFonts w:ascii="Times New Roman" w:eastAsia="Calibri" w:hAnsi="Times New Roman" w:cs="Times New Roman"/>
          <w:color w:val="auto"/>
          <w:lang w:val="pt-BR" w:eastAsia="en-US"/>
        </w:rPr>
        <w:t>torna</w:t>
      </w:r>
      <w:r>
        <w:rPr>
          <w:rFonts w:ascii="Times New Roman" w:eastAsia="Calibri" w:hAnsi="Times New Roman" w:cs="Times New Roman"/>
          <w:color w:val="auto"/>
          <w:lang w:val="pt-BR" w:eastAsia="en-US"/>
        </w:rPr>
        <w:t>ndo</w:t>
      </w:r>
      <w:r w:rsidRPr="008C0F2E">
        <w:rPr>
          <w:rFonts w:ascii="Times New Roman" w:eastAsia="Calibri" w:hAnsi="Times New Roman" w:cs="Times New Roman"/>
          <w:color w:val="auto"/>
          <w:lang w:val="pt-BR" w:eastAsia="en-US"/>
        </w:rPr>
        <w:t>-se irrelevante analisar os aspectos formais da greve.</w:t>
      </w:r>
      <w:r>
        <w:rPr>
          <w:rFonts w:ascii="Times New Roman" w:eastAsia="Calibri" w:hAnsi="Times New Roman" w:cs="Times New Roman"/>
          <w:color w:val="auto"/>
          <w:lang w:val="pt-BR" w:eastAsia="en-US"/>
        </w:rPr>
        <w:t xml:space="preserve"> Com esse entendimento, a SDC</w:t>
      </w:r>
      <w:r w:rsidRPr="00895CC6">
        <w:rPr>
          <w:rFonts w:ascii="Times New Roman" w:eastAsia="Calibri" w:hAnsi="Times New Roman" w:cs="Times New Roman"/>
          <w:color w:val="auto"/>
          <w:lang w:val="pt-BR" w:eastAsia="en-US"/>
        </w:rPr>
        <w:t xml:space="preserve">, por </w:t>
      </w:r>
      <w:r>
        <w:rPr>
          <w:rFonts w:ascii="Times New Roman" w:eastAsia="Calibri" w:hAnsi="Times New Roman" w:cs="Times New Roman"/>
          <w:color w:val="auto"/>
          <w:lang w:val="pt-BR" w:eastAsia="en-US"/>
        </w:rPr>
        <w:t xml:space="preserve">unanimidade, conheceu do recurso ordinário, e, no mérito, por </w:t>
      </w:r>
      <w:r w:rsidRPr="00895CC6">
        <w:rPr>
          <w:rFonts w:ascii="Times New Roman" w:eastAsia="Calibri" w:hAnsi="Times New Roman" w:cs="Times New Roman"/>
          <w:color w:val="auto"/>
          <w:lang w:val="pt-BR" w:eastAsia="en-US"/>
        </w:rPr>
        <w:t xml:space="preserve">maioria, </w:t>
      </w:r>
      <w:r>
        <w:rPr>
          <w:rFonts w:ascii="Times New Roman" w:eastAsia="Calibri" w:hAnsi="Times New Roman" w:cs="Times New Roman"/>
          <w:color w:val="auto"/>
          <w:lang w:val="pt-BR" w:eastAsia="en-US"/>
        </w:rPr>
        <w:t xml:space="preserve">deu-lhe parcial provimento para </w:t>
      </w:r>
      <w:r w:rsidRPr="00A012DB">
        <w:rPr>
          <w:rFonts w:ascii="Times New Roman" w:eastAsia="Calibri" w:hAnsi="Times New Roman" w:cs="Times New Roman"/>
          <w:color w:val="auto"/>
          <w:lang w:val="pt-BR" w:eastAsia="en-US"/>
        </w:rPr>
        <w:t>declarar a abusividade</w:t>
      </w:r>
      <w:r>
        <w:rPr>
          <w:rFonts w:ascii="Times New Roman" w:eastAsia="Calibri" w:hAnsi="Times New Roman" w:cs="Times New Roman"/>
          <w:color w:val="auto"/>
          <w:lang w:val="pt-BR" w:eastAsia="en-US"/>
        </w:rPr>
        <w:t xml:space="preserve"> material</w:t>
      </w:r>
      <w:r w:rsidRPr="00A012DB">
        <w:rPr>
          <w:rFonts w:ascii="Times New Roman" w:eastAsia="Calibri" w:hAnsi="Times New Roman" w:cs="Times New Roman"/>
          <w:color w:val="auto"/>
          <w:lang w:val="pt-BR" w:eastAsia="en-US"/>
        </w:rPr>
        <w:t xml:space="preserve"> da greve e determinar a compensação de 100% dos dias não trabalhados em relação aos empregados auxiliares de administração escolar</w:t>
      </w:r>
      <w:r>
        <w:rPr>
          <w:rFonts w:ascii="Times New Roman" w:eastAsia="Calibri" w:hAnsi="Times New Roman" w:cs="Times New Roman"/>
          <w:color w:val="auto"/>
          <w:lang w:val="pt-BR" w:eastAsia="en-US"/>
        </w:rPr>
        <w:t>. V</w:t>
      </w:r>
      <w:r w:rsidRPr="00895CC6">
        <w:rPr>
          <w:rFonts w:ascii="Times New Roman" w:eastAsia="Calibri" w:hAnsi="Times New Roman" w:cs="Times New Roman"/>
          <w:color w:val="auto"/>
          <w:lang w:val="pt-BR" w:eastAsia="en-US"/>
        </w:rPr>
        <w:t>encido</w:t>
      </w:r>
      <w:r>
        <w:rPr>
          <w:rFonts w:ascii="Times New Roman" w:eastAsia="Calibri" w:hAnsi="Times New Roman" w:cs="Times New Roman"/>
          <w:color w:val="auto"/>
          <w:lang w:val="pt-BR" w:eastAsia="en-US"/>
        </w:rPr>
        <w:t>s</w:t>
      </w:r>
      <w:r w:rsidRPr="00895CC6">
        <w:rPr>
          <w:rFonts w:ascii="Times New Roman" w:eastAsia="Calibri" w:hAnsi="Times New Roman" w:cs="Times New Roman"/>
          <w:color w:val="auto"/>
          <w:lang w:val="pt-BR" w:eastAsia="en-US"/>
        </w:rPr>
        <w:t xml:space="preserve"> o</w:t>
      </w:r>
      <w:r>
        <w:rPr>
          <w:rFonts w:ascii="Times New Roman" w:eastAsia="Calibri" w:hAnsi="Times New Roman" w:cs="Times New Roman"/>
          <w:color w:val="auto"/>
          <w:lang w:val="pt-BR" w:eastAsia="en-US"/>
        </w:rPr>
        <w:t>s</w:t>
      </w:r>
      <w:r w:rsidRPr="00895CC6">
        <w:rPr>
          <w:rFonts w:ascii="Times New Roman" w:eastAsia="Calibri" w:hAnsi="Times New Roman" w:cs="Times New Roman"/>
          <w:color w:val="auto"/>
          <w:lang w:val="pt-BR" w:eastAsia="en-US"/>
        </w:rPr>
        <w:t xml:space="preserve"> Ministro</w:t>
      </w:r>
      <w:r>
        <w:rPr>
          <w:rFonts w:ascii="Times New Roman" w:eastAsia="Calibri" w:hAnsi="Times New Roman" w:cs="Times New Roman"/>
          <w:color w:val="auto"/>
          <w:lang w:val="pt-BR" w:eastAsia="en-US"/>
        </w:rPr>
        <w:t xml:space="preserve">s </w:t>
      </w:r>
      <w:r w:rsidRPr="003B35BC">
        <w:rPr>
          <w:rFonts w:ascii="Times New Roman" w:eastAsia="Calibri" w:hAnsi="Times New Roman" w:cs="Times New Roman"/>
          <w:color w:val="auto"/>
          <w:lang w:val="pt-BR" w:eastAsia="en-US"/>
        </w:rPr>
        <w:t>Mauricio Godinho Delgado</w:t>
      </w:r>
      <w:r>
        <w:rPr>
          <w:rFonts w:ascii="Times New Roman" w:eastAsia="Calibri" w:hAnsi="Times New Roman" w:cs="Times New Roman"/>
          <w:color w:val="auto"/>
          <w:lang w:val="pt-BR" w:eastAsia="en-US"/>
        </w:rPr>
        <w:t xml:space="preserve">, </w:t>
      </w:r>
      <w:r w:rsidRPr="00A012DB">
        <w:rPr>
          <w:rFonts w:ascii="Times New Roman" w:eastAsia="Calibri" w:hAnsi="Times New Roman" w:cs="Times New Roman"/>
          <w:color w:val="auto"/>
          <w:lang w:val="pt-BR" w:eastAsia="en-US"/>
        </w:rPr>
        <w:t>Maria de Assis Calsing</w:t>
      </w:r>
      <w:r>
        <w:rPr>
          <w:rFonts w:ascii="Times New Roman" w:eastAsia="Calibri" w:hAnsi="Times New Roman" w:cs="Times New Roman"/>
          <w:color w:val="auto"/>
          <w:lang w:val="pt-BR" w:eastAsia="en-US"/>
        </w:rPr>
        <w:t xml:space="preserve"> e Kátia Magalhães Arruda, que negavam provimento ao recurso. </w:t>
      </w:r>
      <w:hyperlink r:id="rId10" w:history="1">
        <w:r w:rsidRPr="00AD0807">
          <w:rPr>
            <w:rStyle w:val="Hyperlink"/>
            <w:rFonts w:ascii="Times New Roman" w:eastAsia="Calibri" w:hAnsi="Times New Roman"/>
            <w:lang w:val="pt-BR" w:eastAsia="en-US"/>
          </w:rPr>
          <w:t>TST-RO-51534-84.2012.5.02.0000</w:t>
        </w:r>
      </w:hyperlink>
      <w:r w:rsidRPr="00AD0807">
        <w:rPr>
          <w:rFonts w:ascii="Times New Roman" w:eastAsia="Calibri" w:hAnsi="Times New Roman" w:cs="Times New Roman"/>
          <w:color w:val="auto"/>
          <w:u w:val="single"/>
          <w:lang w:val="pt-BR" w:eastAsia="en-US"/>
        </w:rPr>
        <w:t>, SDC, rel. Min. Walmir Oliveira da Costa, 9.6.2014</w:t>
      </w:r>
    </w:p>
    <w:p w:rsidR="00944113" w:rsidRPr="00245D06" w:rsidRDefault="00944113" w:rsidP="00F82D8F">
      <w:pPr>
        <w:pStyle w:val="Corpodetexto2"/>
        <w:jc w:val="center"/>
        <w:rPr>
          <w:b/>
          <w:bCs/>
          <w:emboss/>
          <w:sz w:val="20"/>
          <w:szCs w:val="20"/>
        </w:rPr>
      </w:pPr>
    </w:p>
    <w:p w:rsidR="00944113" w:rsidRPr="00971E07" w:rsidRDefault="00944113" w:rsidP="00944113">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944113" w:rsidRPr="00245D06" w:rsidRDefault="00944113" w:rsidP="00944113">
      <w:pPr>
        <w:pStyle w:val="Corpodetexto2"/>
        <w:jc w:val="center"/>
        <w:rPr>
          <w:b/>
          <w:bCs/>
          <w:emboss/>
          <w:sz w:val="20"/>
          <w:szCs w:val="20"/>
        </w:rPr>
      </w:pPr>
    </w:p>
    <w:p w:rsidR="00A21CF2" w:rsidRPr="007252E5" w:rsidRDefault="00A21CF2" w:rsidP="00A21CF2">
      <w:pPr>
        <w:adjustRightInd w:val="0"/>
        <w:jc w:val="both"/>
        <w:rPr>
          <w:b/>
          <w:i/>
          <w:sz w:val="24"/>
          <w:szCs w:val="24"/>
        </w:rPr>
      </w:pPr>
      <w:r w:rsidRPr="007252E5">
        <w:rPr>
          <w:b/>
          <w:i/>
          <w:sz w:val="24"/>
          <w:szCs w:val="24"/>
        </w:rPr>
        <w:t>Contrato de estágio. Natureza jurídica trabalhista. Prescrição. Incidência do inciso XXIX do art. 7º da C</w:t>
      </w:r>
      <w:r>
        <w:rPr>
          <w:b/>
          <w:i/>
          <w:sz w:val="24"/>
          <w:szCs w:val="24"/>
        </w:rPr>
        <w:t>F</w:t>
      </w:r>
      <w:r w:rsidRPr="007252E5">
        <w:rPr>
          <w:b/>
          <w:i/>
          <w:sz w:val="24"/>
          <w:szCs w:val="24"/>
        </w:rPr>
        <w:t>.</w:t>
      </w:r>
    </w:p>
    <w:p w:rsidR="00A21CF2" w:rsidRDefault="00A21CF2" w:rsidP="00A21CF2">
      <w:pPr>
        <w:pStyle w:val="Corpo"/>
        <w:spacing w:line="240" w:lineRule="auto"/>
        <w:ind w:firstLine="0"/>
        <w:rPr>
          <w:rFonts w:ascii="Times New Roman" w:eastAsia="Calibri" w:hAnsi="Times New Roman" w:cs="Times New Roman"/>
          <w:color w:val="auto"/>
          <w:u w:val="single"/>
          <w:lang w:val="pt-BR" w:eastAsia="en-US"/>
        </w:rPr>
      </w:pPr>
      <w:r w:rsidRPr="00674D75">
        <w:rPr>
          <w:rFonts w:ascii="Times New Roman" w:eastAsia="Calibri" w:hAnsi="Times New Roman" w:cs="Times New Roman"/>
          <w:color w:val="auto"/>
          <w:lang w:val="pt-BR" w:eastAsia="en-US"/>
        </w:rPr>
        <w:t>É imprópria a aplicação da prescrição decenal do art. 205 do C</w:t>
      </w:r>
      <w:r>
        <w:rPr>
          <w:rFonts w:ascii="Times New Roman" w:eastAsia="Calibri" w:hAnsi="Times New Roman" w:cs="Times New Roman"/>
          <w:color w:val="auto"/>
          <w:lang w:val="pt-BR" w:eastAsia="en-US"/>
        </w:rPr>
        <w:t xml:space="preserve">C ao </w:t>
      </w:r>
      <w:r w:rsidRPr="00674D75">
        <w:rPr>
          <w:rFonts w:ascii="Times New Roman" w:eastAsia="Calibri" w:hAnsi="Times New Roman" w:cs="Times New Roman"/>
          <w:color w:val="auto"/>
          <w:lang w:val="pt-BR" w:eastAsia="en-US"/>
        </w:rPr>
        <w:t>contrato de estágio</w:t>
      </w:r>
      <w:r>
        <w:rPr>
          <w:rFonts w:ascii="Times New Roman" w:eastAsia="Calibri" w:hAnsi="Times New Roman" w:cs="Times New Roman"/>
          <w:color w:val="auto"/>
          <w:lang w:val="pt-BR" w:eastAsia="en-US"/>
        </w:rPr>
        <w:t xml:space="preserve"> regulado pela Lei nº 11.788/2008</w:t>
      </w:r>
      <w:r w:rsidRPr="00674D75">
        <w:rPr>
          <w:rFonts w:ascii="Times New Roman" w:eastAsia="Calibri" w:hAnsi="Times New Roman" w:cs="Times New Roman"/>
          <w:color w:val="auto"/>
          <w:lang w:val="pt-BR" w:eastAsia="en-US"/>
        </w:rPr>
        <w:t xml:space="preserve">, pois </w:t>
      </w:r>
      <w:r>
        <w:rPr>
          <w:rFonts w:ascii="Times New Roman" w:eastAsia="Calibri" w:hAnsi="Times New Roman" w:cs="Times New Roman"/>
          <w:color w:val="auto"/>
          <w:lang w:val="pt-BR" w:eastAsia="en-US"/>
        </w:rPr>
        <w:t xml:space="preserve">ainda que não se trate de típica relação de emprego, ostenta </w:t>
      </w:r>
      <w:r w:rsidRPr="00674D75">
        <w:rPr>
          <w:rFonts w:ascii="Times New Roman" w:eastAsia="Calibri" w:hAnsi="Times New Roman" w:cs="Times New Roman"/>
          <w:color w:val="auto"/>
          <w:lang w:val="pt-BR" w:eastAsia="en-US"/>
        </w:rPr>
        <w:t>natureza</w:t>
      </w:r>
      <w:r>
        <w:rPr>
          <w:rFonts w:ascii="Times New Roman" w:eastAsia="Calibri" w:hAnsi="Times New Roman" w:cs="Times New Roman"/>
          <w:color w:val="auto"/>
          <w:lang w:val="pt-BR" w:eastAsia="en-US"/>
        </w:rPr>
        <w:t xml:space="preserve"> de</w:t>
      </w:r>
      <w:r w:rsidRPr="00674D75">
        <w:rPr>
          <w:rFonts w:ascii="Times New Roman" w:eastAsia="Calibri" w:hAnsi="Times New Roman" w:cs="Times New Roman"/>
          <w:color w:val="auto"/>
          <w:lang w:val="pt-BR" w:eastAsia="en-US"/>
        </w:rPr>
        <w:t xml:space="preserve"> relação de trabalho </w:t>
      </w:r>
      <w:r>
        <w:rPr>
          <w:rFonts w:ascii="Times New Roman" w:eastAsia="Calibri" w:hAnsi="Times New Roman" w:cs="Times New Roman"/>
          <w:color w:val="auto"/>
          <w:lang w:val="pt-BR" w:eastAsia="en-US"/>
        </w:rPr>
        <w:t xml:space="preserve">a atrair a incidência da prescrição de que trata o </w:t>
      </w:r>
      <w:r w:rsidRPr="00674D75">
        <w:rPr>
          <w:rFonts w:ascii="Times New Roman" w:eastAsia="Calibri" w:hAnsi="Times New Roman" w:cs="Times New Roman"/>
          <w:color w:val="auto"/>
          <w:lang w:val="pt-BR" w:eastAsia="en-US"/>
        </w:rPr>
        <w:t>inciso XXIX do art. 7º da C</w:t>
      </w:r>
      <w:r>
        <w:rPr>
          <w:rFonts w:ascii="Times New Roman" w:eastAsia="Calibri" w:hAnsi="Times New Roman" w:cs="Times New Roman"/>
          <w:color w:val="auto"/>
          <w:lang w:val="pt-BR" w:eastAsia="en-US"/>
        </w:rPr>
        <w:t>F</w:t>
      </w:r>
      <w:r w:rsidRPr="00674D75">
        <w:rPr>
          <w:rFonts w:ascii="Times New Roman" w:eastAsia="Calibri" w:hAnsi="Times New Roman" w:cs="Times New Roman"/>
          <w:color w:val="auto"/>
          <w:lang w:val="pt-BR" w:eastAsia="en-US"/>
        </w:rPr>
        <w:t>.</w:t>
      </w:r>
      <w:r>
        <w:rPr>
          <w:rFonts w:ascii="Times New Roman" w:eastAsia="Calibri" w:hAnsi="Times New Roman" w:cs="Times New Roman"/>
          <w:color w:val="auto"/>
          <w:lang w:val="pt-BR" w:eastAsia="en-US"/>
        </w:rPr>
        <w:t xml:space="preserve"> </w:t>
      </w:r>
      <w:r w:rsidRPr="004F0E18">
        <w:rPr>
          <w:rFonts w:ascii="Times New Roman" w:eastAsia="Calibri" w:hAnsi="Times New Roman" w:cs="Times New Roman"/>
          <w:color w:val="auto"/>
          <w:lang w:val="pt-BR" w:eastAsia="en-US"/>
        </w:rPr>
        <w:t>Com esse</w:t>
      </w:r>
      <w:r>
        <w:rPr>
          <w:rFonts w:ascii="Times New Roman" w:eastAsia="Calibri" w:hAnsi="Times New Roman" w:cs="Times New Roman"/>
          <w:color w:val="auto"/>
          <w:lang w:val="pt-BR" w:eastAsia="en-US"/>
        </w:rPr>
        <w:t xml:space="preserve"> fundamento</w:t>
      </w:r>
      <w:r w:rsidRPr="004F0E18">
        <w:rPr>
          <w:rFonts w:ascii="Times New Roman" w:eastAsia="Calibri" w:hAnsi="Times New Roman" w:cs="Times New Roman"/>
          <w:color w:val="auto"/>
          <w:lang w:val="pt-BR" w:eastAsia="en-US"/>
        </w:rPr>
        <w:t>, a SBDI-I,</w:t>
      </w:r>
      <w:r>
        <w:rPr>
          <w:rFonts w:ascii="Times New Roman" w:eastAsia="Calibri" w:hAnsi="Times New Roman" w:cs="Times New Roman"/>
          <w:color w:val="auto"/>
          <w:lang w:val="pt-BR" w:eastAsia="en-US"/>
        </w:rPr>
        <w:t xml:space="preserve"> por unanimidade,</w:t>
      </w:r>
      <w:r w:rsidRPr="004F0E18">
        <w:rPr>
          <w:rFonts w:ascii="Times New Roman" w:eastAsia="Calibri" w:hAnsi="Times New Roman" w:cs="Times New Roman"/>
          <w:color w:val="auto"/>
          <w:lang w:val="pt-BR" w:eastAsia="en-US"/>
        </w:rPr>
        <w:t xml:space="preserve"> conhec</w:t>
      </w:r>
      <w:r>
        <w:rPr>
          <w:rFonts w:ascii="Times New Roman" w:eastAsia="Calibri" w:hAnsi="Times New Roman" w:cs="Times New Roman"/>
          <w:color w:val="auto"/>
          <w:lang w:val="pt-BR" w:eastAsia="en-US"/>
        </w:rPr>
        <w:t>eu dos embargos interpostos pelo</w:t>
      </w:r>
      <w:r w:rsidRPr="004F0E18">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reclamado, por divergência jurisprudencial, e, por maioria, deu-lhes </w:t>
      </w:r>
      <w:r w:rsidRPr="003B6F0E">
        <w:rPr>
          <w:rFonts w:ascii="Times New Roman" w:eastAsia="Calibri" w:hAnsi="Times New Roman" w:cs="Times New Roman"/>
          <w:color w:val="auto"/>
          <w:lang w:val="pt-BR" w:eastAsia="en-US"/>
        </w:rPr>
        <w:t>provimento para restabelecer a sentença, que decretou a incidência da prescrição total e extinguiu o feito, com julgamento de mérito, nos termos do art. 269, IV, do CPC.</w:t>
      </w:r>
      <w:r>
        <w:rPr>
          <w:rFonts w:ascii="Times New Roman" w:eastAsia="Calibri" w:hAnsi="Times New Roman" w:cs="Times New Roman"/>
          <w:color w:val="auto"/>
          <w:lang w:val="pt-BR" w:eastAsia="en-US"/>
        </w:rPr>
        <w:t xml:space="preserve"> Vencidos</w:t>
      </w:r>
      <w:r w:rsidRPr="00F62161">
        <w:rPr>
          <w:rFonts w:ascii="Times New Roman" w:eastAsia="Calibri" w:hAnsi="Times New Roman" w:cs="Times New Roman"/>
          <w:color w:val="auto"/>
          <w:lang w:val="pt-BR" w:eastAsia="en-US"/>
        </w:rPr>
        <w:t xml:space="preserve"> os Ministros Renato de Lacerda Paiva e José Roberto Freire Pimenta</w:t>
      </w:r>
      <w:r>
        <w:rPr>
          <w:rFonts w:ascii="Times New Roman" w:eastAsia="Calibri" w:hAnsi="Times New Roman" w:cs="Times New Roman"/>
          <w:color w:val="auto"/>
          <w:lang w:val="pt-BR" w:eastAsia="en-US"/>
        </w:rPr>
        <w:t>.</w:t>
      </w:r>
      <w:r w:rsidRPr="003B6F0E">
        <w:rPr>
          <w:rFonts w:ascii="Times New Roman" w:eastAsia="Calibri" w:hAnsi="Times New Roman" w:cs="Times New Roman"/>
          <w:color w:val="auto"/>
          <w:lang w:val="pt-BR" w:eastAsia="en-US"/>
        </w:rPr>
        <w:t xml:space="preserve"> </w:t>
      </w:r>
      <w:hyperlink r:id="rId11" w:history="1">
        <w:r w:rsidRPr="003927F8">
          <w:rPr>
            <w:rStyle w:val="Hyperlink"/>
            <w:rFonts w:ascii="Times New Roman" w:eastAsia="Calibri" w:hAnsi="Times New Roman"/>
            <w:lang w:val="pt-BR" w:eastAsia="en-US"/>
          </w:rPr>
          <w:t>TST-E-RR-201-90.2012.5.04.0662</w:t>
        </w:r>
      </w:hyperlink>
      <w:r>
        <w:rPr>
          <w:rFonts w:ascii="Times New Roman" w:eastAsia="Calibri" w:hAnsi="Times New Roman" w:cs="Times New Roman"/>
          <w:color w:val="auto"/>
          <w:u w:val="single"/>
          <w:lang w:val="pt-BR" w:eastAsia="en-US"/>
        </w:rPr>
        <w:t>, SBDI-I,</w:t>
      </w:r>
      <w:r w:rsidRPr="003B6F0E">
        <w:rPr>
          <w:rFonts w:ascii="Times New Roman" w:eastAsia="Calibri" w:hAnsi="Times New Roman" w:cs="Times New Roman"/>
          <w:color w:val="auto"/>
          <w:u w:val="single"/>
          <w:lang w:val="pt-BR" w:eastAsia="en-US"/>
        </w:rPr>
        <w:t xml:space="preserve"> </w:t>
      </w:r>
      <w:r w:rsidRPr="004F0E18">
        <w:rPr>
          <w:rFonts w:ascii="Times New Roman" w:eastAsia="Calibri" w:hAnsi="Times New Roman" w:cs="Times New Roman"/>
          <w:color w:val="auto"/>
          <w:u w:val="single"/>
          <w:lang w:val="pt-BR" w:eastAsia="en-US"/>
        </w:rPr>
        <w:t xml:space="preserve">rel. Min. </w:t>
      </w:r>
      <w:r>
        <w:rPr>
          <w:rFonts w:ascii="Times New Roman" w:eastAsia="Calibri" w:hAnsi="Times New Roman" w:cs="Times New Roman"/>
          <w:color w:val="auto"/>
          <w:u w:val="single"/>
          <w:lang w:val="pt-BR" w:eastAsia="en-US"/>
        </w:rPr>
        <w:t>Luiz Philippe V</w:t>
      </w:r>
      <w:r w:rsidRPr="00587891">
        <w:rPr>
          <w:rFonts w:ascii="Times New Roman" w:eastAsia="Calibri" w:hAnsi="Times New Roman" w:cs="Times New Roman"/>
          <w:color w:val="auto"/>
          <w:u w:val="single"/>
          <w:lang w:val="pt-BR" w:eastAsia="en-US"/>
        </w:rPr>
        <w:t>ieira de Mello Filho</w:t>
      </w:r>
      <w:r w:rsidRPr="004F0E18">
        <w:rPr>
          <w:rFonts w:ascii="Times New Roman" w:eastAsia="Calibri" w:hAnsi="Times New Roman" w:cs="Times New Roman"/>
          <w:color w:val="auto"/>
          <w:u w:val="single"/>
          <w:lang w:val="pt-BR" w:eastAsia="en-US"/>
        </w:rPr>
        <w:t xml:space="preserve">, </w:t>
      </w:r>
      <w:r>
        <w:rPr>
          <w:rFonts w:ascii="Times New Roman" w:eastAsia="Calibri" w:hAnsi="Times New Roman" w:cs="Times New Roman"/>
          <w:color w:val="auto"/>
          <w:u w:val="single"/>
          <w:lang w:val="pt-BR" w:eastAsia="en-US"/>
        </w:rPr>
        <w:t>5</w:t>
      </w:r>
      <w:r w:rsidRPr="004F0E18">
        <w:rPr>
          <w:rFonts w:ascii="Times New Roman" w:eastAsia="Calibri" w:hAnsi="Times New Roman" w:cs="Times New Roman"/>
          <w:color w:val="auto"/>
          <w:u w:val="single"/>
          <w:lang w:val="pt-BR" w:eastAsia="en-US"/>
        </w:rPr>
        <w:t>.</w:t>
      </w:r>
      <w:r>
        <w:rPr>
          <w:rFonts w:ascii="Times New Roman" w:eastAsia="Calibri" w:hAnsi="Times New Roman" w:cs="Times New Roman"/>
          <w:color w:val="auto"/>
          <w:u w:val="single"/>
          <w:lang w:val="pt-BR" w:eastAsia="en-US"/>
        </w:rPr>
        <w:t>6</w:t>
      </w:r>
      <w:r w:rsidRPr="004F0E18">
        <w:rPr>
          <w:rFonts w:ascii="Times New Roman" w:eastAsia="Calibri" w:hAnsi="Times New Roman" w:cs="Times New Roman"/>
          <w:color w:val="auto"/>
          <w:u w:val="single"/>
          <w:lang w:val="pt-BR" w:eastAsia="en-US"/>
        </w:rPr>
        <w:t>.2014</w:t>
      </w:r>
    </w:p>
    <w:p w:rsidR="00A21CF2" w:rsidRPr="00245D06" w:rsidRDefault="00A21CF2" w:rsidP="00A21CF2">
      <w:pPr>
        <w:jc w:val="both"/>
        <w:rPr>
          <w:b/>
          <w:i/>
        </w:rPr>
      </w:pPr>
    </w:p>
    <w:p w:rsidR="00A21CF2" w:rsidRDefault="00A21CF2" w:rsidP="00A21CF2">
      <w:pPr>
        <w:jc w:val="both"/>
        <w:rPr>
          <w:sz w:val="24"/>
          <w:szCs w:val="24"/>
        </w:rPr>
      </w:pPr>
      <w:r>
        <w:rPr>
          <w:b/>
          <w:i/>
          <w:sz w:val="24"/>
          <w:szCs w:val="24"/>
        </w:rPr>
        <w:t>Bancário. Norma coletiva. Repercussão das horas extras na remuneração do sábado. Reconhecimento do sábado como descanso semanal remunerado. Incidência da Súmula nº 124, I, “</w:t>
      </w:r>
      <w:r>
        <w:rPr>
          <w:b/>
          <w:sz w:val="24"/>
          <w:szCs w:val="24"/>
        </w:rPr>
        <w:t>a”</w:t>
      </w:r>
      <w:r>
        <w:rPr>
          <w:b/>
          <w:i/>
          <w:sz w:val="24"/>
          <w:szCs w:val="24"/>
        </w:rPr>
        <w:t>, do TST. Divisor 150.</w:t>
      </w:r>
    </w:p>
    <w:p w:rsidR="00A21CF2" w:rsidRDefault="00A21CF2" w:rsidP="00A21CF2">
      <w:pPr>
        <w:jc w:val="both"/>
        <w:rPr>
          <w:sz w:val="24"/>
          <w:szCs w:val="24"/>
          <w:u w:val="single"/>
        </w:rPr>
      </w:pPr>
      <w:r>
        <w:rPr>
          <w:sz w:val="24"/>
          <w:szCs w:val="24"/>
        </w:rPr>
        <w:t>A previsão, em norma coletiva, de repercussão das horas extras prestadas ao longo da semana sobre o sábado descaracteriza a sua natureza de dia útil não trabalhado. Assim, o sábado adquire feição de repouso semanal remunerado, fazendo incidir a Súmula nº 124, I, “</w:t>
      </w:r>
      <w:r>
        <w:rPr>
          <w:i/>
          <w:sz w:val="24"/>
          <w:szCs w:val="24"/>
        </w:rPr>
        <w:t>a”</w:t>
      </w:r>
      <w:r>
        <w:rPr>
          <w:sz w:val="24"/>
          <w:szCs w:val="24"/>
        </w:rPr>
        <w:t xml:space="preserve"> do TST. Com base nesses fundamentos, a SBDI-I, por maioria, conheceu dos embargos interpostos pelo reclamante, por contrariedade à Súmula nº 124, I, “a”, do TST, e, no mérito, deu-lhes provimento para determinar que se adote o divisor 150 para o cálculo das horas extraordinárias a que faz jus o reclamante no período em que trabalhou em jornada de seis horas, observada a vigência da norma coletiva que estabelece o sábado como dia de repouso semanal remunerado. Ressalvou a fundamentação o Ministro Renato de Lacerda Paiva. Vencidos os Ministros João Oreste Dalazen, Antonio José de Barros Levenhagen e Márcio Eurico Vitral Amaro, que não conheciam do recurso.</w:t>
      </w:r>
      <w:r w:rsidRPr="009456F0">
        <w:rPr>
          <w:sz w:val="24"/>
          <w:szCs w:val="24"/>
        </w:rPr>
        <w:t xml:space="preserve"> </w:t>
      </w:r>
      <w:hyperlink r:id="rId12" w:history="1">
        <w:r w:rsidRPr="003927F8">
          <w:rPr>
            <w:rStyle w:val="Hyperlink"/>
            <w:sz w:val="24"/>
            <w:szCs w:val="24"/>
          </w:rPr>
          <w:t>TST-E</w:t>
        </w:r>
        <w:r w:rsidR="003927F8" w:rsidRPr="003927F8">
          <w:rPr>
            <w:rStyle w:val="Hyperlink"/>
            <w:sz w:val="24"/>
            <w:szCs w:val="24"/>
          </w:rPr>
          <w:t>-</w:t>
        </w:r>
        <w:r w:rsidRPr="003927F8">
          <w:rPr>
            <w:rStyle w:val="Hyperlink"/>
            <w:sz w:val="24"/>
            <w:szCs w:val="24"/>
          </w:rPr>
          <w:t>ED</w:t>
        </w:r>
        <w:r w:rsidR="003927F8" w:rsidRPr="003927F8">
          <w:rPr>
            <w:rStyle w:val="Hyperlink"/>
            <w:sz w:val="24"/>
            <w:szCs w:val="24"/>
          </w:rPr>
          <w:t>-</w:t>
        </w:r>
        <w:r w:rsidRPr="003927F8">
          <w:rPr>
            <w:rStyle w:val="Hyperlink"/>
            <w:sz w:val="24"/>
            <w:szCs w:val="24"/>
          </w:rPr>
          <w:t>RR-754-24.2011.5.03.0138</w:t>
        </w:r>
      </w:hyperlink>
      <w:r>
        <w:rPr>
          <w:sz w:val="24"/>
          <w:szCs w:val="24"/>
          <w:u w:val="single"/>
        </w:rPr>
        <w:t>, SBDI-I, rel. Min. Aloysio Corrêa da Veiga, 5.6.2014</w:t>
      </w:r>
    </w:p>
    <w:p w:rsidR="00A21CF2" w:rsidRPr="00245D06" w:rsidRDefault="00A21CF2" w:rsidP="0094620A">
      <w:pPr>
        <w:jc w:val="both"/>
        <w:rPr>
          <w:b/>
          <w:i/>
        </w:rPr>
      </w:pPr>
    </w:p>
    <w:p w:rsidR="00A21CF2" w:rsidRDefault="00A21CF2" w:rsidP="00A21CF2">
      <w:pPr>
        <w:jc w:val="both"/>
        <w:rPr>
          <w:b/>
          <w:i/>
          <w:sz w:val="24"/>
          <w:szCs w:val="24"/>
        </w:rPr>
      </w:pPr>
      <w:r w:rsidRPr="00B66A12">
        <w:rPr>
          <w:b/>
          <w:i/>
          <w:sz w:val="24"/>
          <w:szCs w:val="24"/>
        </w:rPr>
        <w:t>Irregularidade de representação.</w:t>
      </w:r>
      <w:r>
        <w:rPr>
          <w:b/>
          <w:i/>
          <w:sz w:val="24"/>
          <w:szCs w:val="24"/>
        </w:rPr>
        <w:t xml:space="preserve"> Questão não impugnada na primeira oportunidade. Arguição apenas quando a parte a quem socorre a irregularidade se tornou sucumbente. Preclusão. Configuração. Art. 245 do CPC.</w:t>
      </w:r>
    </w:p>
    <w:p w:rsidR="00A21CF2" w:rsidRDefault="00A21CF2" w:rsidP="00A21CF2">
      <w:pPr>
        <w:jc w:val="both"/>
        <w:rPr>
          <w:b/>
          <w:i/>
          <w:sz w:val="32"/>
          <w:szCs w:val="32"/>
        </w:rPr>
      </w:pPr>
      <w:r>
        <w:rPr>
          <w:sz w:val="24"/>
          <w:szCs w:val="24"/>
        </w:rPr>
        <w:t xml:space="preserve">As </w:t>
      </w:r>
      <w:r w:rsidRPr="00C44F76">
        <w:rPr>
          <w:sz w:val="24"/>
          <w:szCs w:val="24"/>
        </w:rPr>
        <w:t xml:space="preserve">alegações relacionadas </w:t>
      </w:r>
      <w:r>
        <w:rPr>
          <w:sz w:val="24"/>
          <w:szCs w:val="24"/>
        </w:rPr>
        <w:t>ao</w:t>
      </w:r>
      <w:r w:rsidRPr="00C44F76">
        <w:rPr>
          <w:sz w:val="24"/>
          <w:szCs w:val="24"/>
        </w:rPr>
        <w:t xml:space="preserve"> exame de pressupostos extrínsecos processuais</w:t>
      </w:r>
      <w:r>
        <w:rPr>
          <w:sz w:val="24"/>
          <w:szCs w:val="24"/>
        </w:rPr>
        <w:t xml:space="preserve">, por serem matéria de ordem pública, não estão sujeitas à preclusão, devendo ser </w:t>
      </w:r>
      <w:r w:rsidRPr="00C44F76">
        <w:rPr>
          <w:sz w:val="24"/>
          <w:szCs w:val="24"/>
        </w:rPr>
        <w:t>ex</w:t>
      </w:r>
      <w:r>
        <w:rPr>
          <w:sz w:val="24"/>
          <w:szCs w:val="24"/>
        </w:rPr>
        <w:t>aminadas de ofício pelo julgador. Todavia, nos termos do art. 245 do CPC, s</w:t>
      </w:r>
      <w:r w:rsidRPr="007A7F34">
        <w:rPr>
          <w:sz w:val="24"/>
          <w:szCs w:val="24"/>
        </w:rPr>
        <w:t>e a parte a quem socorre a irregularidade deix</w:t>
      </w:r>
      <w:r>
        <w:rPr>
          <w:sz w:val="24"/>
          <w:szCs w:val="24"/>
        </w:rPr>
        <w:t xml:space="preserve">a de indicá-la na primeira oportunidade que falar nos autos, </w:t>
      </w:r>
      <w:r w:rsidRPr="007A7F34">
        <w:rPr>
          <w:sz w:val="24"/>
          <w:szCs w:val="24"/>
        </w:rPr>
        <w:t>entende-se que anuiu com</w:t>
      </w:r>
      <w:r>
        <w:rPr>
          <w:sz w:val="24"/>
          <w:szCs w:val="24"/>
        </w:rPr>
        <w:t xml:space="preserve"> seu conteúdo, não podendo argui-la</w:t>
      </w:r>
      <w:r w:rsidRPr="007A7F34">
        <w:rPr>
          <w:sz w:val="24"/>
          <w:szCs w:val="24"/>
        </w:rPr>
        <w:t xml:space="preserve"> apenas quando sucumbente em sua pretensão</w:t>
      </w:r>
      <w:r>
        <w:rPr>
          <w:sz w:val="24"/>
          <w:szCs w:val="24"/>
        </w:rPr>
        <w:t xml:space="preserve">. Na hipótese, trata-se de vício decorrente da ausência de autenticação da procuração outorgada aos advogados das reclamadas juntada com a contestação, o qual não foi alegado pelo reclamante perante a Vara do Trabalho, mas apenas em sede de embargos de declaração ao recurso ordinário, quando não mais possível à parte adversa sanar o vício, conforme disposto art. 13 do CPC. Com esse entendimento, a SBDI-I, por unanimidade, conheceu dos embargos interpostos pelo reclamante, por divergência jurisprudencial, e, no mérito, por maioria, negou-lhes provimento, mantendo a decisão da Turma por fundamento </w:t>
      </w:r>
      <w:r>
        <w:rPr>
          <w:sz w:val="24"/>
          <w:szCs w:val="24"/>
        </w:rPr>
        <w:lastRenderedPageBreak/>
        <w:t xml:space="preserve">diverso. </w:t>
      </w:r>
      <w:hyperlink r:id="rId13" w:history="1">
        <w:r w:rsidRPr="003927F8">
          <w:rPr>
            <w:rStyle w:val="Hyperlink"/>
            <w:sz w:val="24"/>
            <w:szCs w:val="24"/>
          </w:rPr>
          <w:t>TST-E-ED-RR-98500-35.2005.5.01.0047</w:t>
        </w:r>
      </w:hyperlink>
      <w:r w:rsidRPr="00263320">
        <w:rPr>
          <w:sz w:val="24"/>
          <w:szCs w:val="24"/>
          <w:u w:val="single"/>
        </w:rPr>
        <w:t xml:space="preserve">, SBDI-I, rel. Min. </w:t>
      </w:r>
      <w:r>
        <w:rPr>
          <w:sz w:val="24"/>
          <w:szCs w:val="24"/>
          <w:u w:val="single"/>
        </w:rPr>
        <w:t>Aloysio Corrêa d</w:t>
      </w:r>
      <w:r w:rsidRPr="00A52A27">
        <w:rPr>
          <w:sz w:val="24"/>
          <w:szCs w:val="24"/>
          <w:u w:val="single"/>
        </w:rPr>
        <w:t>a Veiga</w:t>
      </w:r>
      <w:r w:rsidRPr="00263320">
        <w:rPr>
          <w:sz w:val="24"/>
          <w:szCs w:val="24"/>
          <w:u w:val="single"/>
        </w:rPr>
        <w:t xml:space="preserve">, </w:t>
      </w:r>
      <w:r>
        <w:rPr>
          <w:sz w:val="24"/>
          <w:szCs w:val="24"/>
          <w:u w:val="single"/>
        </w:rPr>
        <w:t>5</w:t>
      </w:r>
      <w:r w:rsidRPr="00263320">
        <w:rPr>
          <w:sz w:val="24"/>
          <w:szCs w:val="24"/>
          <w:u w:val="single"/>
        </w:rPr>
        <w:t>.</w:t>
      </w:r>
      <w:r>
        <w:rPr>
          <w:sz w:val="24"/>
          <w:szCs w:val="24"/>
          <w:u w:val="single"/>
        </w:rPr>
        <w:t>6.2014</w:t>
      </w:r>
    </w:p>
    <w:p w:rsidR="006456B1" w:rsidRPr="005D1DE4" w:rsidRDefault="006456B1" w:rsidP="004C2612">
      <w:pPr>
        <w:pStyle w:val="EXPLICAO"/>
        <w:ind w:left="0"/>
        <w:rPr>
          <w:rFonts w:ascii="Times New Roman" w:hAnsi="Times New Roman" w:cs="Times New Roman"/>
          <w:b/>
          <w:color w:val="auto"/>
        </w:rPr>
      </w:pPr>
    </w:p>
    <w:p w:rsidR="00C26DFB" w:rsidRPr="005D1DE4" w:rsidRDefault="00C26DFB">
      <w:pPr>
        <w:jc w:val="both"/>
        <w:rPr>
          <w:sz w:val="22"/>
          <w:szCs w:val="22"/>
          <w:u w:val="single"/>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4"/>
      <w:footerReference w:type="default" r:id="rId15"/>
      <w:headerReference w:type="first" r:id="rId16"/>
      <w:footerReference w:type="first" r:id="rId17"/>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91" w:rsidRDefault="006E5491">
      <w:r>
        <w:separator/>
      </w:r>
    </w:p>
  </w:endnote>
  <w:endnote w:type="continuationSeparator" w:id="0">
    <w:p w:rsidR="006E5491" w:rsidRDefault="006E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2672">
      <w:rPr>
        <w:rStyle w:val="Nmerodepgina"/>
        <w:noProof/>
      </w:rPr>
      <w:t>3</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E02672">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91" w:rsidRDefault="006E5491">
      <w:r>
        <w:separator/>
      </w:r>
    </w:p>
  </w:footnote>
  <w:footnote w:type="continuationSeparator" w:id="0">
    <w:p w:rsidR="006E5491" w:rsidRDefault="006E5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454950">
      <w:rPr>
        <w:shadow/>
        <w:sz w:val="24"/>
        <w:szCs w:val="24"/>
      </w:rPr>
      <w:t>8</w:t>
    </w:r>
    <w:r w:rsidR="00425147">
      <w:rPr>
        <w:shadow/>
        <w:sz w:val="24"/>
        <w:szCs w:val="24"/>
      </w:rPr>
      <w:t>5</w:t>
    </w:r>
  </w:p>
  <w:p w:rsidR="00FE00AD" w:rsidRPr="00971E07" w:rsidRDefault="00187A37">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sidR="002168DE">
      <w:rPr>
        <w:sz w:val="20"/>
        <w:szCs w:val="20"/>
      </w:rPr>
      <w:t xml:space="preserve">Período: </w:t>
    </w:r>
    <w:r w:rsidR="00425147">
      <w:rPr>
        <w:sz w:val="20"/>
        <w:szCs w:val="20"/>
      </w:rPr>
      <w:t>3</w:t>
    </w:r>
    <w:r w:rsidR="00944113">
      <w:rPr>
        <w:sz w:val="20"/>
        <w:szCs w:val="20"/>
      </w:rPr>
      <w:t xml:space="preserve"> a </w:t>
    </w:r>
    <w:r w:rsidR="00425147">
      <w:rPr>
        <w:sz w:val="20"/>
        <w:szCs w:val="20"/>
      </w:rPr>
      <w:t>9</w:t>
    </w:r>
    <w:r w:rsidR="00944113">
      <w:rPr>
        <w:sz w:val="20"/>
        <w:szCs w:val="20"/>
      </w:rPr>
      <w:t xml:space="preserve"> de junho</w:t>
    </w:r>
    <w:r w:rsidR="00FE00AD" w:rsidRPr="00971E07">
      <w:rPr>
        <w:sz w:val="20"/>
        <w:szCs w:val="20"/>
      </w:rPr>
      <w:t xml:space="preserve"> de 20</w:t>
    </w:r>
    <w:r w:rsidR="00E16E01" w:rsidRPr="00971E07">
      <w:rPr>
        <w:sz w:val="20"/>
        <w:szCs w:val="20"/>
      </w:rPr>
      <w:t>1</w:t>
    </w:r>
    <w:r w:rsidR="00454950">
      <w:rPr>
        <w:sz w:val="20"/>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25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A45EE6">
      <w:rPr>
        <w:b/>
        <w:sz w:val="40"/>
        <w:szCs w:val="40"/>
      </w:rPr>
      <w:t>8</w:t>
    </w:r>
    <w:r w:rsidR="00425147">
      <w:rPr>
        <w:b/>
        <w:sz w:val="40"/>
        <w:szCs w:val="40"/>
      </w:rPr>
      <w:t>5</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425147">
      <w:rPr>
        <w:i/>
        <w:iCs/>
      </w:rPr>
      <w:t>3 a 9</w:t>
    </w:r>
    <w:r w:rsidR="00944113">
      <w:rPr>
        <w:i/>
        <w:iCs/>
      </w:rPr>
      <w:t xml:space="preserve"> de junho</w:t>
    </w:r>
    <w:r w:rsidR="00FE00AD" w:rsidRPr="005D1DE4">
      <w:rPr>
        <w:i/>
        <w:iCs/>
      </w:rPr>
      <w:t xml:space="preserve"> de 201</w:t>
    </w:r>
    <w:r w:rsidR="00A45EE6">
      <w:rPr>
        <w:i/>
        <w:iCs/>
      </w:rPr>
      <w:t>4</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11575C"/>
    <w:rsid w:val="0011692E"/>
    <w:rsid w:val="00137564"/>
    <w:rsid w:val="00137DC1"/>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713B"/>
    <w:rsid w:val="001F030F"/>
    <w:rsid w:val="00206810"/>
    <w:rsid w:val="002168DE"/>
    <w:rsid w:val="00222FB4"/>
    <w:rsid w:val="00224AC2"/>
    <w:rsid w:val="00235356"/>
    <w:rsid w:val="0023559D"/>
    <w:rsid w:val="002402B0"/>
    <w:rsid w:val="002449F9"/>
    <w:rsid w:val="00245D06"/>
    <w:rsid w:val="002635ED"/>
    <w:rsid w:val="00266180"/>
    <w:rsid w:val="002662BA"/>
    <w:rsid w:val="00266D49"/>
    <w:rsid w:val="00271C5C"/>
    <w:rsid w:val="00271E67"/>
    <w:rsid w:val="002730B5"/>
    <w:rsid w:val="00280594"/>
    <w:rsid w:val="00285064"/>
    <w:rsid w:val="00297911"/>
    <w:rsid w:val="002A219D"/>
    <w:rsid w:val="002A546D"/>
    <w:rsid w:val="002B4738"/>
    <w:rsid w:val="002B6377"/>
    <w:rsid w:val="002C2904"/>
    <w:rsid w:val="002D34F7"/>
    <w:rsid w:val="002E78CB"/>
    <w:rsid w:val="003307C6"/>
    <w:rsid w:val="0033397A"/>
    <w:rsid w:val="00337ECC"/>
    <w:rsid w:val="00352B27"/>
    <w:rsid w:val="0036325E"/>
    <w:rsid w:val="003671FE"/>
    <w:rsid w:val="003708FD"/>
    <w:rsid w:val="0037667D"/>
    <w:rsid w:val="00384075"/>
    <w:rsid w:val="003908C5"/>
    <w:rsid w:val="003927F8"/>
    <w:rsid w:val="00396053"/>
    <w:rsid w:val="003A4086"/>
    <w:rsid w:val="003A5E5B"/>
    <w:rsid w:val="003B045C"/>
    <w:rsid w:val="003B0A59"/>
    <w:rsid w:val="003B3EB5"/>
    <w:rsid w:val="003B4E23"/>
    <w:rsid w:val="003B767E"/>
    <w:rsid w:val="003C6FE7"/>
    <w:rsid w:val="003D032E"/>
    <w:rsid w:val="003D4205"/>
    <w:rsid w:val="003F2078"/>
    <w:rsid w:val="00425147"/>
    <w:rsid w:val="0042772A"/>
    <w:rsid w:val="004323B0"/>
    <w:rsid w:val="00444E88"/>
    <w:rsid w:val="00454950"/>
    <w:rsid w:val="0045657C"/>
    <w:rsid w:val="004655CC"/>
    <w:rsid w:val="00466DB9"/>
    <w:rsid w:val="00486521"/>
    <w:rsid w:val="0048671E"/>
    <w:rsid w:val="00486DFC"/>
    <w:rsid w:val="004922D6"/>
    <w:rsid w:val="004A14FC"/>
    <w:rsid w:val="004A5264"/>
    <w:rsid w:val="004B21AD"/>
    <w:rsid w:val="004C011C"/>
    <w:rsid w:val="004C14EA"/>
    <w:rsid w:val="004C2118"/>
    <w:rsid w:val="004C2612"/>
    <w:rsid w:val="004C67CE"/>
    <w:rsid w:val="004D6000"/>
    <w:rsid w:val="004D6415"/>
    <w:rsid w:val="004D71E8"/>
    <w:rsid w:val="004E393E"/>
    <w:rsid w:val="004E4507"/>
    <w:rsid w:val="004E45C6"/>
    <w:rsid w:val="004E4619"/>
    <w:rsid w:val="004F0A7D"/>
    <w:rsid w:val="0051538E"/>
    <w:rsid w:val="00517E01"/>
    <w:rsid w:val="00521EEC"/>
    <w:rsid w:val="005460BD"/>
    <w:rsid w:val="00552042"/>
    <w:rsid w:val="00553197"/>
    <w:rsid w:val="0055409E"/>
    <w:rsid w:val="00556367"/>
    <w:rsid w:val="00556B35"/>
    <w:rsid w:val="00573E13"/>
    <w:rsid w:val="00584F82"/>
    <w:rsid w:val="00591DFA"/>
    <w:rsid w:val="0059479D"/>
    <w:rsid w:val="005A5695"/>
    <w:rsid w:val="005B2F00"/>
    <w:rsid w:val="005B57DE"/>
    <w:rsid w:val="005C1886"/>
    <w:rsid w:val="005C761E"/>
    <w:rsid w:val="005D0E5F"/>
    <w:rsid w:val="005D1DE4"/>
    <w:rsid w:val="005E35BD"/>
    <w:rsid w:val="005E3D4D"/>
    <w:rsid w:val="005E7FD1"/>
    <w:rsid w:val="005F2858"/>
    <w:rsid w:val="005F6331"/>
    <w:rsid w:val="006002E3"/>
    <w:rsid w:val="006145AC"/>
    <w:rsid w:val="00615F98"/>
    <w:rsid w:val="00621F9C"/>
    <w:rsid w:val="00631166"/>
    <w:rsid w:val="00631F1C"/>
    <w:rsid w:val="006366A4"/>
    <w:rsid w:val="006456B1"/>
    <w:rsid w:val="006564EC"/>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D5148"/>
    <w:rsid w:val="006E5491"/>
    <w:rsid w:val="006F6C15"/>
    <w:rsid w:val="0070727E"/>
    <w:rsid w:val="00710D3A"/>
    <w:rsid w:val="0071315F"/>
    <w:rsid w:val="00721942"/>
    <w:rsid w:val="00722BE7"/>
    <w:rsid w:val="00732DF2"/>
    <w:rsid w:val="007614F1"/>
    <w:rsid w:val="007618C5"/>
    <w:rsid w:val="00764066"/>
    <w:rsid w:val="00776118"/>
    <w:rsid w:val="007B0F83"/>
    <w:rsid w:val="007D29A1"/>
    <w:rsid w:val="007E0EA7"/>
    <w:rsid w:val="007E3F23"/>
    <w:rsid w:val="007F142E"/>
    <w:rsid w:val="007F7B5E"/>
    <w:rsid w:val="00802B1A"/>
    <w:rsid w:val="0080615C"/>
    <w:rsid w:val="0081027F"/>
    <w:rsid w:val="0081742D"/>
    <w:rsid w:val="00821F4D"/>
    <w:rsid w:val="00823906"/>
    <w:rsid w:val="008409D3"/>
    <w:rsid w:val="00845559"/>
    <w:rsid w:val="00854DB8"/>
    <w:rsid w:val="00854EF2"/>
    <w:rsid w:val="00863B86"/>
    <w:rsid w:val="00871F69"/>
    <w:rsid w:val="008842D0"/>
    <w:rsid w:val="00884AC4"/>
    <w:rsid w:val="0088579D"/>
    <w:rsid w:val="008A7953"/>
    <w:rsid w:val="008B3081"/>
    <w:rsid w:val="008B32D4"/>
    <w:rsid w:val="008D0020"/>
    <w:rsid w:val="008D3C38"/>
    <w:rsid w:val="008D57CB"/>
    <w:rsid w:val="008D6A05"/>
    <w:rsid w:val="008E2AE5"/>
    <w:rsid w:val="008E3F89"/>
    <w:rsid w:val="008F26CB"/>
    <w:rsid w:val="008F6509"/>
    <w:rsid w:val="008F753A"/>
    <w:rsid w:val="008F79D9"/>
    <w:rsid w:val="009027C8"/>
    <w:rsid w:val="00925ABA"/>
    <w:rsid w:val="0093467A"/>
    <w:rsid w:val="0094155C"/>
    <w:rsid w:val="00944113"/>
    <w:rsid w:val="0094620A"/>
    <w:rsid w:val="00951531"/>
    <w:rsid w:val="00960A3B"/>
    <w:rsid w:val="00967DE0"/>
    <w:rsid w:val="00971E07"/>
    <w:rsid w:val="00980944"/>
    <w:rsid w:val="00986D77"/>
    <w:rsid w:val="009943EC"/>
    <w:rsid w:val="0099692E"/>
    <w:rsid w:val="009A32D5"/>
    <w:rsid w:val="009B6012"/>
    <w:rsid w:val="009C102D"/>
    <w:rsid w:val="009C110B"/>
    <w:rsid w:val="009C2A4F"/>
    <w:rsid w:val="009D4C59"/>
    <w:rsid w:val="009D7F91"/>
    <w:rsid w:val="009E20EF"/>
    <w:rsid w:val="009E26EE"/>
    <w:rsid w:val="009F21A2"/>
    <w:rsid w:val="00A21CF2"/>
    <w:rsid w:val="00A226E3"/>
    <w:rsid w:val="00A32FBF"/>
    <w:rsid w:val="00A407EA"/>
    <w:rsid w:val="00A45EE6"/>
    <w:rsid w:val="00A51749"/>
    <w:rsid w:val="00A521B6"/>
    <w:rsid w:val="00A56962"/>
    <w:rsid w:val="00A6412C"/>
    <w:rsid w:val="00A75419"/>
    <w:rsid w:val="00A76661"/>
    <w:rsid w:val="00A76D2A"/>
    <w:rsid w:val="00A82081"/>
    <w:rsid w:val="00A8557E"/>
    <w:rsid w:val="00A91181"/>
    <w:rsid w:val="00A935AC"/>
    <w:rsid w:val="00AB299E"/>
    <w:rsid w:val="00AB507C"/>
    <w:rsid w:val="00AD6E76"/>
    <w:rsid w:val="00AE3EAA"/>
    <w:rsid w:val="00AE5EDF"/>
    <w:rsid w:val="00B14F7F"/>
    <w:rsid w:val="00B16EB9"/>
    <w:rsid w:val="00B22F24"/>
    <w:rsid w:val="00B22F53"/>
    <w:rsid w:val="00B24DBE"/>
    <w:rsid w:val="00B34EB2"/>
    <w:rsid w:val="00B517C3"/>
    <w:rsid w:val="00B518B2"/>
    <w:rsid w:val="00B526EA"/>
    <w:rsid w:val="00B536FE"/>
    <w:rsid w:val="00B73FFA"/>
    <w:rsid w:val="00B874F1"/>
    <w:rsid w:val="00BC1DE7"/>
    <w:rsid w:val="00BC5AEE"/>
    <w:rsid w:val="00BD6029"/>
    <w:rsid w:val="00BE0541"/>
    <w:rsid w:val="00BE1ADB"/>
    <w:rsid w:val="00C070DE"/>
    <w:rsid w:val="00C10670"/>
    <w:rsid w:val="00C26DFB"/>
    <w:rsid w:val="00C273FA"/>
    <w:rsid w:val="00C30D06"/>
    <w:rsid w:val="00C42067"/>
    <w:rsid w:val="00C432D0"/>
    <w:rsid w:val="00C4398E"/>
    <w:rsid w:val="00C60B4A"/>
    <w:rsid w:val="00C65BDB"/>
    <w:rsid w:val="00C71A3B"/>
    <w:rsid w:val="00C76CFA"/>
    <w:rsid w:val="00C963F8"/>
    <w:rsid w:val="00C96BB1"/>
    <w:rsid w:val="00CA109E"/>
    <w:rsid w:val="00CA2F80"/>
    <w:rsid w:val="00CB0C2A"/>
    <w:rsid w:val="00CC4B2B"/>
    <w:rsid w:val="00CC579C"/>
    <w:rsid w:val="00CC5F5F"/>
    <w:rsid w:val="00CD3460"/>
    <w:rsid w:val="00CD4B61"/>
    <w:rsid w:val="00CD5043"/>
    <w:rsid w:val="00CE2928"/>
    <w:rsid w:val="00CE314A"/>
    <w:rsid w:val="00D01C50"/>
    <w:rsid w:val="00D11B24"/>
    <w:rsid w:val="00D133C8"/>
    <w:rsid w:val="00D145A6"/>
    <w:rsid w:val="00D14DB8"/>
    <w:rsid w:val="00D244D5"/>
    <w:rsid w:val="00D2649E"/>
    <w:rsid w:val="00D2776A"/>
    <w:rsid w:val="00D413DB"/>
    <w:rsid w:val="00D420E2"/>
    <w:rsid w:val="00D4459D"/>
    <w:rsid w:val="00D56E38"/>
    <w:rsid w:val="00D573F9"/>
    <w:rsid w:val="00D6058B"/>
    <w:rsid w:val="00D63EC5"/>
    <w:rsid w:val="00D72C05"/>
    <w:rsid w:val="00D847CF"/>
    <w:rsid w:val="00DA0A99"/>
    <w:rsid w:val="00DA7603"/>
    <w:rsid w:val="00DA7E39"/>
    <w:rsid w:val="00DA7EDE"/>
    <w:rsid w:val="00DC0AB5"/>
    <w:rsid w:val="00DC50EB"/>
    <w:rsid w:val="00DD3FA0"/>
    <w:rsid w:val="00DE5B2D"/>
    <w:rsid w:val="00DE5CE9"/>
    <w:rsid w:val="00DF2B8D"/>
    <w:rsid w:val="00E02672"/>
    <w:rsid w:val="00E03064"/>
    <w:rsid w:val="00E04BD5"/>
    <w:rsid w:val="00E070D2"/>
    <w:rsid w:val="00E1539C"/>
    <w:rsid w:val="00E162B6"/>
    <w:rsid w:val="00E16E01"/>
    <w:rsid w:val="00E24A50"/>
    <w:rsid w:val="00E35639"/>
    <w:rsid w:val="00E432CC"/>
    <w:rsid w:val="00E50711"/>
    <w:rsid w:val="00E60EDA"/>
    <w:rsid w:val="00E62BBC"/>
    <w:rsid w:val="00E9503C"/>
    <w:rsid w:val="00E956D9"/>
    <w:rsid w:val="00EA1958"/>
    <w:rsid w:val="00EA29F5"/>
    <w:rsid w:val="00EA424E"/>
    <w:rsid w:val="00EA482D"/>
    <w:rsid w:val="00EB5FE6"/>
    <w:rsid w:val="00EB61A5"/>
    <w:rsid w:val="00EB7A09"/>
    <w:rsid w:val="00EC5AF4"/>
    <w:rsid w:val="00ED661C"/>
    <w:rsid w:val="00EE41B5"/>
    <w:rsid w:val="00EE66C9"/>
    <w:rsid w:val="00EE7626"/>
    <w:rsid w:val="00EF11A9"/>
    <w:rsid w:val="00EF38E1"/>
    <w:rsid w:val="00EF749A"/>
    <w:rsid w:val="00EF771E"/>
    <w:rsid w:val="00F02565"/>
    <w:rsid w:val="00F05542"/>
    <w:rsid w:val="00F17A2C"/>
    <w:rsid w:val="00F26708"/>
    <w:rsid w:val="00F511EE"/>
    <w:rsid w:val="00F558E7"/>
    <w:rsid w:val="00F62016"/>
    <w:rsid w:val="00F627ED"/>
    <w:rsid w:val="00F63F44"/>
    <w:rsid w:val="00F6746D"/>
    <w:rsid w:val="00F811CD"/>
    <w:rsid w:val="00F82D8F"/>
    <w:rsid w:val="00F83F62"/>
    <w:rsid w:val="00F918A2"/>
    <w:rsid w:val="00F9711D"/>
    <w:rsid w:val="00FA75E0"/>
    <w:rsid w:val="00FB20B1"/>
    <w:rsid w:val="00FB3AB4"/>
    <w:rsid w:val="00FC56A4"/>
    <w:rsid w:val="00FD3D06"/>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8D57CB"/>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jc w:val="both"/>
    </w:pPr>
    <w:rPr>
      <w:rFonts w:ascii="Times New Roman" w:hAnsi="Times New Roman"/>
      <w:bCs/>
      <w:color w:val="000000"/>
      <w:sz w:val="24"/>
      <w:szCs w:val="24"/>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numdef">
    <w:name w:val="numdef"/>
    <w:rsid w:val="00552042"/>
  </w:style>
  <w:style w:type="paragraph" w:customStyle="1" w:styleId="corpo1">
    <w:name w:val="corpo"/>
    <w:basedOn w:val="Normal"/>
    <w:rsid w:val="004C67CE"/>
    <w:pPr>
      <w:autoSpaceDE/>
      <w:autoSpaceDN/>
      <w:spacing w:before="100" w:beforeAutospacing="1" w:after="100" w:afterAutospacing="1"/>
    </w:pPr>
    <w:rPr>
      <w:color w:val="000000"/>
      <w:sz w:val="24"/>
      <w:szCs w:val="24"/>
    </w:rPr>
  </w:style>
  <w:style w:type="character" w:customStyle="1" w:styleId="grame">
    <w:name w:val="grame"/>
    <w:rsid w:val="00A22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licacao5.tst.jus.br/consultaProcessual/consultaTstNumUnica.do?consulta=Consultar&amp;conscsjt=&amp;numeroTst=3675&amp;digitoTst=34&amp;anoTst=2012&amp;orgaoTst=5&amp;tribunalTst=07&amp;varaTst=0000" TargetMode="External"/><Relationship Id="rId13" Type="http://schemas.openxmlformats.org/officeDocument/2006/relationships/hyperlink" Target="https://aplicacao5.tst.jus.br/consultaProcessual/consultaTstNumUnica.do?consulta=Consultar&amp;conscsjt=&amp;numeroTst=98500&amp;digitoTst=35&amp;anoTst=2005&amp;orgaoTst=5&amp;tribunalTst=01&amp;varaTst=00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cacao5.tst.jus.br/consultaProcessual/consultaTstNumUnica.do?consulta=Consultar&amp;conscsjt=&amp;numeroTst=754&amp;digitoTst=24&amp;anoTst=2011&amp;orgaoTst=5&amp;tribunalTst=03&amp;varaTst=013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cacao5.tst.jus.br/consultaProcessual/consultaTstNumUnica.do?consulta=Consultar&amp;conscsjt=&amp;numeroTst=201&amp;digitoTst=90&amp;anoTst=2012&amp;orgaoTst=5&amp;tribunalTst=04&amp;varaTst=066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licacao5.tst.jus.br/consultaProcessual/consultaTstNumUnica.do?consulta=Consultar&amp;conscsjt=&amp;numeroTst=51534&amp;digitoTst=84&amp;anoTst=2012&amp;orgaoTst=5&amp;tribunalTst=02&amp;varaTst=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licacao5.tst.jus.br/consultaProcessual/consultaTstNumUnica.do?consulta=Consultar&amp;conscsjt=&amp;numeroTst=6937&amp;digitoTst=30&amp;anoTst=2012&amp;orgaoTst=5&amp;tribunalTst=02&amp;varaTst=000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CB34-0C82-4A98-BED3-169D494B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9338</CharactersWithSpaces>
  <SharedDoc>false</SharedDoc>
  <HLinks>
    <vt:vector size="36" baseType="variant">
      <vt:variant>
        <vt:i4>2031625</vt:i4>
      </vt:variant>
      <vt:variant>
        <vt:i4>15</vt:i4>
      </vt:variant>
      <vt:variant>
        <vt:i4>0</vt:i4>
      </vt:variant>
      <vt:variant>
        <vt:i4>5</vt:i4>
      </vt:variant>
      <vt:variant>
        <vt:lpwstr>https://aplicacao5.tst.jus.br/consultaProcessual/consultaTstNumUnica.do?consulta=Consultar&amp;conscsjt=&amp;numeroTst=98500&amp;digitoTst=35&amp;anoTst=2005&amp;orgaoTst=5&amp;tribunalTst=01&amp;varaTst=0047</vt:lpwstr>
      </vt:variant>
      <vt:variant>
        <vt:lpwstr/>
      </vt:variant>
      <vt:variant>
        <vt:i4>3014708</vt:i4>
      </vt:variant>
      <vt:variant>
        <vt:i4>12</vt:i4>
      </vt:variant>
      <vt:variant>
        <vt:i4>0</vt:i4>
      </vt:variant>
      <vt:variant>
        <vt:i4>5</vt:i4>
      </vt:variant>
      <vt:variant>
        <vt:lpwstr>https://aplicacao5.tst.jus.br/consultaProcessual/consultaTstNumUnica.do?consulta=Consultar&amp;conscsjt=&amp;numeroTst=754&amp;digitoTst=24&amp;anoTst=2011&amp;orgaoTst=5&amp;tribunalTst=03&amp;varaTst=0138</vt:lpwstr>
      </vt:variant>
      <vt:variant>
        <vt:lpwstr/>
      </vt:variant>
      <vt:variant>
        <vt:i4>2621492</vt:i4>
      </vt:variant>
      <vt:variant>
        <vt:i4>9</vt:i4>
      </vt:variant>
      <vt:variant>
        <vt:i4>0</vt:i4>
      </vt:variant>
      <vt:variant>
        <vt:i4>5</vt:i4>
      </vt:variant>
      <vt:variant>
        <vt:lpwstr>https://aplicacao5.tst.jus.br/consultaProcessual/consultaTstNumUnica.do?consulta=Consultar&amp;conscsjt=&amp;numeroTst=201&amp;digitoTst=90&amp;anoTst=2012&amp;orgaoTst=5&amp;tribunalTst=04&amp;varaTst=0662</vt:lpwstr>
      </vt:variant>
      <vt:variant>
        <vt:lpwstr/>
      </vt:variant>
      <vt:variant>
        <vt:i4>1703938</vt:i4>
      </vt:variant>
      <vt:variant>
        <vt:i4>6</vt:i4>
      </vt:variant>
      <vt:variant>
        <vt:i4>0</vt:i4>
      </vt:variant>
      <vt:variant>
        <vt:i4>5</vt:i4>
      </vt:variant>
      <vt:variant>
        <vt:lpwstr>https://aplicacao5.tst.jus.br/consultaProcessual/consultaTstNumUnica.do?consulta=Consultar&amp;conscsjt=&amp;numeroTst=51534&amp;digitoTst=84&amp;anoTst=2012&amp;orgaoTst=5&amp;tribunalTst=02&amp;varaTst=0000</vt:lpwstr>
      </vt:variant>
      <vt:variant>
        <vt:lpwstr/>
      </vt:variant>
      <vt:variant>
        <vt:i4>7209076</vt:i4>
      </vt:variant>
      <vt:variant>
        <vt:i4>3</vt:i4>
      </vt:variant>
      <vt:variant>
        <vt:i4>0</vt:i4>
      </vt:variant>
      <vt:variant>
        <vt:i4>5</vt:i4>
      </vt:variant>
      <vt:variant>
        <vt:lpwstr>https://aplicacao5.tst.jus.br/consultaProcessual/consultaTstNumUnica.do?consulta=Consultar&amp;conscsjt=&amp;numeroTst=6937&amp;digitoTst=30&amp;anoTst=2012&amp;orgaoTst=5&amp;tribunalTst=02&amp;varaTst=0000</vt:lpwstr>
      </vt:variant>
      <vt:variant>
        <vt:lpwstr/>
      </vt:variant>
      <vt:variant>
        <vt:i4>7209081</vt:i4>
      </vt:variant>
      <vt:variant>
        <vt:i4>0</vt:i4>
      </vt:variant>
      <vt:variant>
        <vt:i4>0</vt:i4>
      </vt:variant>
      <vt:variant>
        <vt:i4>5</vt:i4>
      </vt:variant>
      <vt:variant>
        <vt:lpwstr>https://aplicacao5.tst.jus.br/consultaProcessual/consultaTstNumUnica.do?consulta=Consultar&amp;conscsjt=&amp;numeroTst=3675&amp;digitoTst=34&amp;anoTst=2012&amp;orgaoTst=5&amp;tribunalTst=07&amp;varaTst=0000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2014-06-02T15:43:00Z</cp:lastPrinted>
  <dcterms:created xsi:type="dcterms:W3CDTF">2018-06-27T21:47:00Z</dcterms:created>
  <dcterms:modified xsi:type="dcterms:W3CDTF">2018-06-27T21:47:00Z</dcterms:modified>
</cp:coreProperties>
</file>