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Default="00C26DFB" w:rsidP="00DC50EB">
            <w:pPr>
              <w:pStyle w:val="Cabealho"/>
              <w:tabs>
                <w:tab w:val="clear" w:pos="4419"/>
                <w:tab w:val="clear" w:pos="8838"/>
              </w:tabs>
              <w:jc w:val="both"/>
              <w:rPr>
                <w:sz w:val="16"/>
                <w:szCs w:val="16"/>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p w:rsidR="004C67CE" w:rsidRPr="00187A37" w:rsidRDefault="004C67CE" w:rsidP="00DC50EB">
            <w:pPr>
              <w:pStyle w:val="Cabealho"/>
              <w:tabs>
                <w:tab w:val="clear" w:pos="4419"/>
                <w:tab w:val="clear" w:pos="8838"/>
              </w:tabs>
              <w:jc w:val="both"/>
              <w:rPr>
                <w:sz w:val="10"/>
                <w:szCs w:val="10"/>
              </w:rPr>
            </w:pPr>
          </w:p>
        </w:tc>
      </w:tr>
    </w:tbl>
    <w:p w:rsidR="00631F1C" w:rsidRPr="00971E07" w:rsidRDefault="00944113"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ÓRGÃO ESPECIAL</w:t>
      </w:r>
    </w:p>
    <w:p w:rsidR="0094620A" w:rsidRPr="0094620A" w:rsidRDefault="0094620A" w:rsidP="0094620A">
      <w:pPr>
        <w:jc w:val="both"/>
        <w:rPr>
          <w:b/>
          <w:i/>
        </w:rPr>
      </w:pPr>
    </w:p>
    <w:p w:rsidR="0094620A" w:rsidRPr="00395897" w:rsidRDefault="0094620A" w:rsidP="0094620A">
      <w:pPr>
        <w:jc w:val="both"/>
        <w:rPr>
          <w:b/>
          <w:i/>
          <w:sz w:val="24"/>
          <w:szCs w:val="24"/>
        </w:rPr>
      </w:pPr>
      <w:r w:rsidRPr="00395897">
        <w:rPr>
          <w:b/>
          <w:i/>
          <w:sz w:val="24"/>
          <w:szCs w:val="24"/>
        </w:rPr>
        <w:t>Gratificação</w:t>
      </w:r>
      <w:r>
        <w:rPr>
          <w:b/>
          <w:i/>
          <w:sz w:val="24"/>
          <w:szCs w:val="24"/>
        </w:rPr>
        <w:t xml:space="preserve"> de Atividade</w:t>
      </w:r>
      <w:r w:rsidRPr="00395897">
        <w:rPr>
          <w:b/>
          <w:i/>
          <w:sz w:val="24"/>
          <w:szCs w:val="24"/>
        </w:rPr>
        <w:t xml:space="preserve"> Judiciária (GAJ). Impossibilidade de percepção</w:t>
      </w:r>
      <w:r>
        <w:rPr>
          <w:b/>
          <w:i/>
          <w:sz w:val="24"/>
          <w:szCs w:val="24"/>
        </w:rPr>
        <w:t>.</w:t>
      </w:r>
      <w:r w:rsidRPr="00395897">
        <w:rPr>
          <w:b/>
          <w:i/>
          <w:sz w:val="24"/>
          <w:szCs w:val="24"/>
        </w:rPr>
        <w:t xml:space="preserve"> Servidor cedido à Empresa Brasileira de Serviços Hospitalares. Pagamento devido somente </w:t>
      </w:r>
      <w:r>
        <w:rPr>
          <w:b/>
          <w:i/>
          <w:sz w:val="24"/>
          <w:szCs w:val="24"/>
        </w:rPr>
        <w:t>na hipótese de cessão</w:t>
      </w:r>
      <w:r w:rsidRPr="00395897">
        <w:rPr>
          <w:b/>
          <w:i/>
          <w:sz w:val="24"/>
          <w:szCs w:val="24"/>
        </w:rPr>
        <w:t xml:space="preserve"> para órgãos dos Poderes Legislativo e Judiciário da União e da Administração Pública Direta do Poder Executivo Federal.</w:t>
      </w:r>
    </w:p>
    <w:p w:rsidR="0094620A" w:rsidRPr="0094620A" w:rsidRDefault="0094620A" w:rsidP="0094620A">
      <w:pPr>
        <w:pStyle w:val="Corpo"/>
        <w:spacing w:line="240" w:lineRule="auto"/>
        <w:ind w:firstLine="0"/>
        <w:rPr>
          <w:rFonts w:ascii="Times New Roman" w:eastAsia="Calibri" w:hAnsi="Times New Roman" w:cs="Times New Roman"/>
          <w:color w:val="auto"/>
          <w:lang w:val="pt-BR" w:eastAsia="en-US"/>
        </w:rPr>
      </w:pPr>
      <w:r w:rsidRPr="0094620A">
        <w:rPr>
          <w:rFonts w:ascii="Times New Roman" w:hAnsi="Times New Roman" w:cs="Times New Roman"/>
          <w:lang w:val="pt-BR"/>
        </w:rPr>
        <w:t xml:space="preserve">Não é devido o pagamento da Gratificação de Atividade Judiciária (GAJ) durante o período de cessão de servidor do TST à Empresa Brasileira de Serviços Hospitalares (Ebeserh), empresa pública pertencente à Administração Indireta, pois esta gratificação somente é devida na hipótese de cessão de servidor para órgãos dos Poderes Legislativo e Judiciário da União e da Administração Pública Direta do Poder Executivo Federal, conforme se infere do § 3º, do art. 13 da Lei nº 11.416/06 à luz da Portaria Conjunta nº 1, de 7 de março de 2007, do STF, CNJ, Tribunais Superiores, CJF, CSJT e TJDFT, que regulamentou dispositivos da Lei nº 11.416/2006. Ademais, nos termos da jurisprudência pacífica do STJ, a GAJ possui evidente caráter </w:t>
      </w:r>
      <w:r w:rsidRPr="0094620A">
        <w:rPr>
          <w:rFonts w:ascii="Times New Roman" w:hAnsi="Times New Roman" w:cs="Times New Roman"/>
          <w:i/>
          <w:lang w:val="pt-BR"/>
        </w:rPr>
        <w:t>propter laborem</w:t>
      </w:r>
      <w:r w:rsidRPr="0094620A">
        <w:rPr>
          <w:rFonts w:ascii="Times New Roman" w:hAnsi="Times New Roman" w:cs="Times New Roman"/>
          <w:lang w:val="pt-BR"/>
        </w:rPr>
        <w:t>, não se incorporando à remuneração, pois só o exercício da atividade é que justificaria o seu pagamento. Com esse posicionamento, o Órgão Especial, por maioria, negou provimento ao recurso em matéria administrativa. Ressalvou a fundamentação o Ministro Walmir Oliveira da Costa. Vencidos os Ministros João Oreste Dalazen e Augusto César Leite de Carvalho, que não conheciam do recurso.</w:t>
      </w:r>
      <w:r w:rsidRPr="0094620A">
        <w:rPr>
          <w:rFonts w:ascii="Times New Roman" w:eastAsia="Calibri" w:hAnsi="Times New Roman" w:cs="Times New Roman"/>
          <w:color w:val="auto"/>
          <w:lang w:val="pt-BR" w:eastAsia="en-US"/>
        </w:rPr>
        <w:t xml:space="preserve"> </w:t>
      </w:r>
      <w:hyperlink r:id="rId8" w:history="1">
        <w:r w:rsidRPr="00EA424E">
          <w:rPr>
            <w:rStyle w:val="Hyperlink"/>
            <w:rFonts w:ascii="Times New Roman" w:hAnsi="Times New Roman" w:cs="Courier New"/>
            <w:lang w:val="pt-BR"/>
          </w:rPr>
          <w:t>TST-</w:t>
        </w:r>
        <w:r w:rsidR="00EA424E" w:rsidRPr="00EA424E">
          <w:rPr>
            <w:rStyle w:val="Hyperlink"/>
            <w:rFonts w:ascii="Times New Roman" w:hAnsi="Times New Roman" w:cs="Courier New"/>
            <w:lang w:val="pt-BR"/>
          </w:rPr>
          <w:t>PA</w:t>
        </w:r>
        <w:r w:rsidRPr="00EA424E">
          <w:rPr>
            <w:rStyle w:val="Hyperlink"/>
            <w:rFonts w:ascii="Times New Roman" w:hAnsi="Times New Roman" w:cs="Courier New"/>
            <w:lang w:val="pt-BR"/>
          </w:rPr>
          <w:t>-2453-55.2014.5.00.0000</w:t>
        </w:r>
      </w:hyperlink>
      <w:r w:rsidRPr="0094620A">
        <w:rPr>
          <w:rFonts w:ascii="Times New Roman" w:hAnsi="Times New Roman"/>
          <w:u w:val="single"/>
          <w:lang w:val="pt-BR"/>
        </w:rPr>
        <w:t>, Órgão Especial, rel. Min. Renato de Lacerda Paiva, 2.6.2014</w:t>
      </w:r>
    </w:p>
    <w:p w:rsidR="00944113" w:rsidRPr="0094620A" w:rsidRDefault="00944113" w:rsidP="00F82D8F">
      <w:pPr>
        <w:pStyle w:val="Corpodetexto2"/>
        <w:jc w:val="center"/>
        <w:rPr>
          <w:b/>
          <w:bCs/>
          <w:emboss/>
          <w:sz w:val="20"/>
          <w:szCs w:val="20"/>
        </w:rPr>
      </w:pPr>
    </w:p>
    <w:p w:rsidR="00944113" w:rsidRPr="00971E07" w:rsidRDefault="00944113" w:rsidP="00944113">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944113" w:rsidRPr="0094620A" w:rsidRDefault="00944113" w:rsidP="00944113">
      <w:pPr>
        <w:pStyle w:val="Corpodetexto2"/>
        <w:jc w:val="center"/>
        <w:rPr>
          <w:b/>
          <w:bCs/>
          <w:emboss/>
          <w:sz w:val="20"/>
          <w:szCs w:val="20"/>
        </w:rPr>
      </w:pPr>
    </w:p>
    <w:p w:rsidR="0094620A" w:rsidRPr="00895CC6" w:rsidRDefault="0094620A" w:rsidP="0094620A">
      <w:pPr>
        <w:jc w:val="both"/>
        <w:rPr>
          <w:b/>
          <w:i/>
          <w:sz w:val="24"/>
          <w:szCs w:val="24"/>
        </w:rPr>
      </w:pPr>
      <w:r>
        <w:rPr>
          <w:b/>
          <w:i/>
          <w:sz w:val="24"/>
          <w:szCs w:val="24"/>
        </w:rPr>
        <w:t>Preposto. Empregado de qualquer uma das empresas do grupo econômico. Grupo econômico. Súmula nº 377 do TST. Inaplicável.</w:t>
      </w:r>
    </w:p>
    <w:p w:rsidR="0094620A" w:rsidRPr="00E843E2" w:rsidRDefault="0094620A" w:rsidP="0094620A">
      <w:pPr>
        <w:pStyle w:val="Corpo"/>
        <w:spacing w:line="240" w:lineRule="auto"/>
        <w:ind w:firstLine="0"/>
        <w:rPr>
          <w:rFonts w:ascii="Times New Roman" w:eastAsia="Calibri" w:hAnsi="Times New Roman" w:cs="Times New Roman"/>
          <w:color w:val="auto"/>
          <w:u w:val="single"/>
          <w:lang w:val="pt-BR" w:eastAsia="en-US"/>
        </w:rPr>
      </w:pPr>
      <w:r>
        <w:rPr>
          <w:rFonts w:ascii="Times New Roman" w:eastAsia="Calibri" w:hAnsi="Times New Roman" w:cs="Times New Roman"/>
          <w:color w:val="auto"/>
          <w:lang w:val="pt-BR" w:eastAsia="en-US"/>
        </w:rPr>
        <w:t xml:space="preserve">Em razão da solidariedade consagrada no § 2º do art. 2º da CLT e do disposto no art. 843, § 1º da CLT, as empresas de um mesmo grupo econômico podem ser representadas em juízo por preposto que seja empregado de qualquer uma delas, desde que tenha conhecimento dos fatos controvertidos. Ademais, não há falar em contrariedade à Súmula nº 377 do TST, pois a exigência de que o preposto seja, necessariamente, empregado da reclamada, tem como fundamento impedir a configuração do chamado “preposto profissional”, hipótese diversa da tratada no caso concreto. </w:t>
      </w:r>
      <w:r w:rsidRPr="00895CC6">
        <w:rPr>
          <w:rFonts w:ascii="Times New Roman" w:eastAsia="Calibri" w:hAnsi="Times New Roman" w:cs="Times New Roman"/>
          <w:color w:val="auto"/>
          <w:lang w:val="pt-BR" w:eastAsia="en-US"/>
        </w:rPr>
        <w:t xml:space="preserve">Com esse entendimento, a SBDI-I, por </w:t>
      </w:r>
      <w:r>
        <w:rPr>
          <w:rFonts w:ascii="Times New Roman" w:eastAsia="Calibri" w:hAnsi="Times New Roman" w:cs="Times New Roman"/>
          <w:color w:val="auto"/>
          <w:lang w:val="pt-BR" w:eastAsia="en-US"/>
        </w:rPr>
        <w:t>unanimidade</w:t>
      </w:r>
      <w:r w:rsidRPr="00895CC6">
        <w:rPr>
          <w:rFonts w:ascii="Times New Roman" w:eastAsia="Calibri" w:hAnsi="Times New Roman" w:cs="Times New Roman"/>
          <w:color w:val="auto"/>
          <w:lang w:val="pt-BR" w:eastAsia="en-US"/>
        </w:rPr>
        <w:t xml:space="preserve">, conheceu dos </w:t>
      </w:r>
      <w:r>
        <w:rPr>
          <w:rFonts w:ascii="Times New Roman" w:eastAsia="Calibri" w:hAnsi="Times New Roman" w:cs="Times New Roman"/>
          <w:color w:val="auto"/>
          <w:lang w:val="pt-BR" w:eastAsia="en-US"/>
        </w:rPr>
        <w:t>embargos interpostos pelo reclamante</w:t>
      </w:r>
      <w:r w:rsidRPr="00895CC6">
        <w:rPr>
          <w:rFonts w:ascii="Times New Roman" w:eastAsia="Calibri" w:hAnsi="Times New Roman" w:cs="Times New Roman"/>
          <w:color w:val="auto"/>
          <w:lang w:val="pt-BR" w:eastAsia="en-US"/>
        </w:rPr>
        <w:t xml:space="preserve">, por divergência jurisprudencial, e, no mérito, </w:t>
      </w:r>
      <w:r>
        <w:rPr>
          <w:rFonts w:ascii="Times New Roman" w:eastAsia="Calibri" w:hAnsi="Times New Roman" w:cs="Times New Roman"/>
          <w:color w:val="auto"/>
          <w:lang w:val="pt-BR" w:eastAsia="en-US"/>
        </w:rPr>
        <w:t xml:space="preserve">negou-lhes provimento. </w:t>
      </w:r>
      <w:hyperlink r:id="rId9" w:history="1">
        <w:r w:rsidRPr="00EA424E">
          <w:rPr>
            <w:rStyle w:val="Hyperlink"/>
            <w:rFonts w:ascii="Times New Roman" w:eastAsia="Calibri" w:hAnsi="Times New Roman"/>
            <w:lang w:val="pt-BR" w:eastAsia="en-US"/>
          </w:rPr>
          <w:t>TST-E-ED-RR-25600-66.2007.5.10.0004</w:t>
        </w:r>
      </w:hyperlink>
      <w:r w:rsidRPr="00553B87">
        <w:rPr>
          <w:rFonts w:ascii="Times New Roman" w:eastAsia="Calibri" w:hAnsi="Times New Roman" w:cs="Times New Roman"/>
          <w:color w:val="auto"/>
          <w:u w:val="single"/>
          <w:lang w:val="pt-BR" w:eastAsia="en-US"/>
        </w:rPr>
        <w:t>,</w:t>
      </w:r>
      <w:r w:rsidRPr="00E843E2">
        <w:rPr>
          <w:rFonts w:ascii="Times New Roman" w:eastAsia="Calibri" w:hAnsi="Times New Roman" w:cs="Times New Roman"/>
          <w:color w:val="auto"/>
          <w:u w:val="single"/>
          <w:lang w:val="pt-BR" w:eastAsia="en-US"/>
        </w:rPr>
        <w:t xml:space="preserve"> SBDI-I, rel. Min. </w:t>
      </w:r>
      <w:r>
        <w:rPr>
          <w:rFonts w:ascii="Times New Roman" w:eastAsia="Calibri" w:hAnsi="Times New Roman" w:cs="Times New Roman"/>
          <w:color w:val="auto"/>
          <w:u w:val="single"/>
          <w:lang w:val="pt-BR" w:eastAsia="en-US"/>
        </w:rPr>
        <w:t>Lelio Bentes Corrêa, 29.</w:t>
      </w:r>
      <w:r w:rsidRPr="00E843E2">
        <w:rPr>
          <w:rFonts w:ascii="Times New Roman" w:eastAsia="Calibri" w:hAnsi="Times New Roman" w:cs="Times New Roman"/>
          <w:color w:val="auto"/>
          <w:u w:val="single"/>
          <w:lang w:val="pt-BR" w:eastAsia="en-US"/>
        </w:rPr>
        <w:t>5.2014</w:t>
      </w:r>
    </w:p>
    <w:p w:rsidR="0094620A" w:rsidRPr="0094620A" w:rsidRDefault="0094620A" w:rsidP="00266180">
      <w:pPr>
        <w:adjustRightInd w:val="0"/>
        <w:jc w:val="both"/>
        <w:rPr>
          <w:b/>
          <w:i/>
        </w:rPr>
      </w:pPr>
    </w:p>
    <w:p w:rsidR="0094620A" w:rsidRPr="00895CC6" w:rsidRDefault="0094620A" w:rsidP="0094620A">
      <w:pPr>
        <w:jc w:val="both"/>
        <w:rPr>
          <w:b/>
          <w:i/>
          <w:sz w:val="24"/>
          <w:szCs w:val="24"/>
        </w:rPr>
      </w:pPr>
      <w:r w:rsidRPr="00B33925">
        <w:rPr>
          <w:b/>
          <w:i/>
          <w:sz w:val="24"/>
          <w:szCs w:val="24"/>
        </w:rPr>
        <w:t xml:space="preserve">Férias </w:t>
      </w:r>
      <w:r>
        <w:rPr>
          <w:b/>
          <w:i/>
          <w:sz w:val="24"/>
          <w:szCs w:val="24"/>
        </w:rPr>
        <w:t>n</w:t>
      </w:r>
      <w:r w:rsidRPr="00B33925">
        <w:rPr>
          <w:b/>
          <w:i/>
          <w:sz w:val="24"/>
          <w:szCs w:val="24"/>
        </w:rPr>
        <w:t xml:space="preserve">ão </w:t>
      </w:r>
      <w:r>
        <w:rPr>
          <w:b/>
          <w:i/>
          <w:sz w:val="24"/>
          <w:szCs w:val="24"/>
        </w:rPr>
        <w:t>g</w:t>
      </w:r>
      <w:r w:rsidRPr="00B33925">
        <w:rPr>
          <w:b/>
          <w:i/>
          <w:sz w:val="24"/>
          <w:szCs w:val="24"/>
        </w:rPr>
        <w:t xml:space="preserve">ozadas. Licença </w:t>
      </w:r>
      <w:r>
        <w:rPr>
          <w:b/>
          <w:i/>
          <w:sz w:val="24"/>
          <w:szCs w:val="24"/>
        </w:rPr>
        <w:t>r</w:t>
      </w:r>
      <w:r w:rsidRPr="00B33925">
        <w:rPr>
          <w:b/>
          <w:i/>
          <w:sz w:val="24"/>
          <w:szCs w:val="24"/>
        </w:rPr>
        <w:t xml:space="preserve">emunerada </w:t>
      </w:r>
      <w:r>
        <w:rPr>
          <w:b/>
          <w:i/>
          <w:sz w:val="24"/>
          <w:szCs w:val="24"/>
        </w:rPr>
        <w:t>s</w:t>
      </w:r>
      <w:r w:rsidRPr="00B33925">
        <w:rPr>
          <w:b/>
          <w:i/>
          <w:sz w:val="24"/>
          <w:szCs w:val="24"/>
        </w:rPr>
        <w:t xml:space="preserve">uperior </w:t>
      </w:r>
      <w:r>
        <w:rPr>
          <w:b/>
          <w:i/>
          <w:sz w:val="24"/>
          <w:szCs w:val="24"/>
        </w:rPr>
        <w:t>a</w:t>
      </w:r>
      <w:r w:rsidRPr="00B33925">
        <w:rPr>
          <w:b/>
          <w:i/>
          <w:sz w:val="24"/>
          <w:szCs w:val="24"/>
        </w:rPr>
        <w:t xml:space="preserve"> </w:t>
      </w:r>
      <w:r>
        <w:rPr>
          <w:b/>
          <w:i/>
          <w:sz w:val="24"/>
          <w:szCs w:val="24"/>
        </w:rPr>
        <w:t>t</w:t>
      </w:r>
      <w:r w:rsidRPr="00B33925">
        <w:rPr>
          <w:b/>
          <w:i/>
          <w:sz w:val="24"/>
          <w:szCs w:val="24"/>
        </w:rPr>
        <w:t xml:space="preserve">rinta </w:t>
      </w:r>
      <w:r>
        <w:rPr>
          <w:b/>
          <w:i/>
          <w:sz w:val="24"/>
          <w:szCs w:val="24"/>
        </w:rPr>
        <w:t>d</w:t>
      </w:r>
      <w:r w:rsidRPr="00B33925">
        <w:rPr>
          <w:b/>
          <w:i/>
          <w:sz w:val="24"/>
          <w:szCs w:val="24"/>
        </w:rPr>
        <w:t>ias. Terço</w:t>
      </w:r>
      <w:r>
        <w:rPr>
          <w:b/>
          <w:i/>
          <w:sz w:val="24"/>
          <w:szCs w:val="24"/>
        </w:rPr>
        <w:t xml:space="preserve"> c</w:t>
      </w:r>
      <w:r w:rsidRPr="00B33925">
        <w:rPr>
          <w:b/>
          <w:i/>
          <w:sz w:val="24"/>
          <w:szCs w:val="24"/>
        </w:rPr>
        <w:t>onstitucional</w:t>
      </w:r>
      <w:r>
        <w:rPr>
          <w:b/>
          <w:i/>
          <w:sz w:val="24"/>
          <w:szCs w:val="24"/>
        </w:rPr>
        <w:t>. Devido.</w:t>
      </w:r>
      <w:r w:rsidRPr="00B33925">
        <w:rPr>
          <w:b/>
          <w:i/>
          <w:sz w:val="24"/>
          <w:szCs w:val="24"/>
        </w:rPr>
        <w:t xml:space="preserve"> </w:t>
      </w:r>
      <w:r>
        <w:rPr>
          <w:b/>
          <w:i/>
          <w:sz w:val="24"/>
          <w:szCs w:val="24"/>
        </w:rPr>
        <w:t>A</w:t>
      </w:r>
      <w:r w:rsidRPr="00A81643">
        <w:rPr>
          <w:b/>
          <w:i/>
          <w:sz w:val="24"/>
          <w:szCs w:val="24"/>
        </w:rPr>
        <w:t>rt. 133, II, da CLT</w:t>
      </w:r>
      <w:r>
        <w:rPr>
          <w:b/>
          <w:i/>
          <w:sz w:val="24"/>
          <w:szCs w:val="24"/>
        </w:rPr>
        <w:t xml:space="preserve"> e </w:t>
      </w:r>
      <w:r w:rsidRPr="00C07F4E">
        <w:rPr>
          <w:b/>
          <w:i/>
          <w:sz w:val="24"/>
          <w:szCs w:val="24"/>
        </w:rPr>
        <w:t>art. 7º, XVII, da CF</w:t>
      </w:r>
      <w:r>
        <w:rPr>
          <w:b/>
          <w:i/>
          <w:sz w:val="24"/>
          <w:szCs w:val="24"/>
        </w:rPr>
        <w:t>.</w:t>
      </w:r>
    </w:p>
    <w:p w:rsidR="0094620A" w:rsidRPr="00E843E2" w:rsidRDefault="0094620A" w:rsidP="0094620A">
      <w:pPr>
        <w:pStyle w:val="Corpo"/>
        <w:spacing w:line="240" w:lineRule="auto"/>
        <w:ind w:firstLine="0"/>
        <w:rPr>
          <w:rFonts w:ascii="Times New Roman" w:eastAsia="Calibri" w:hAnsi="Times New Roman" w:cs="Times New Roman"/>
          <w:color w:val="auto"/>
          <w:u w:val="single"/>
          <w:lang w:val="pt-BR" w:eastAsia="en-US"/>
        </w:rPr>
      </w:pPr>
      <w:r w:rsidRPr="00A03D4F">
        <w:rPr>
          <w:rFonts w:ascii="Times New Roman" w:eastAsia="Calibri" w:hAnsi="Times New Roman" w:cs="Times New Roman"/>
          <w:color w:val="auto"/>
          <w:lang w:val="pt-BR" w:eastAsia="en-US"/>
        </w:rPr>
        <w:t xml:space="preserve">É devido o pagamento do terço constitucional relativo às férias, que deixarem de ser </w:t>
      </w:r>
      <w:r>
        <w:rPr>
          <w:rFonts w:ascii="Times New Roman" w:eastAsia="Calibri" w:hAnsi="Times New Roman" w:cs="Times New Roman"/>
          <w:color w:val="auto"/>
          <w:lang w:val="pt-BR" w:eastAsia="en-US"/>
        </w:rPr>
        <w:t>usufruídas</w:t>
      </w:r>
      <w:r w:rsidRPr="00A03D4F">
        <w:rPr>
          <w:rFonts w:ascii="Times New Roman" w:eastAsia="Calibri" w:hAnsi="Times New Roman" w:cs="Times New Roman"/>
          <w:color w:val="auto"/>
          <w:lang w:val="pt-BR" w:eastAsia="en-US"/>
        </w:rPr>
        <w:t xml:space="preserve"> em razão da concessão de licença remunerada superior a trinta dias</w:t>
      </w:r>
      <w:r>
        <w:rPr>
          <w:rFonts w:ascii="Times New Roman" w:eastAsia="Calibri" w:hAnsi="Times New Roman" w:cs="Times New Roman"/>
          <w:color w:val="auto"/>
          <w:lang w:val="pt-BR" w:eastAsia="en-US"/>
        </w:rPr>
        <w:t xml:space="preserve"> decorrente de paralisação das atividades da empresa</w:t>
      </w:r>
      <w:r w:rsidRPr="00A03D4F">
        <w:rPr>
          <w:rFonts w:ascii="Times New Roman" w:eastAsia="Calibri" w:hAnsi="Times New Roman" w:cs="Times New Roman"/>
          <w:color w:val="auto"/>
          <w:lang w:val="pt-BR" w:eastAsia="en-US"/>
        </w:rPr>
        <w:t>, por ser direito do trabalhador, previsto no art. 7º, XVII, da CF.</w:t>
      </w:r>
      <w:r>
        <w:rPr>
          <w:rFonts w:ascii="Times New Roman" w:eastAsia="Calibri" w:hAnsi="Times New Roman" w:cs="Times New Roman"/>
          <w:color w:val="auto"/>
          <w:lang w:val="pt-BR" w:eastAsia="en-US"/>
        </w:rPr>
        <w:t xml:space="preserve"> O</w:t>
      </w:r>
      <w:r w:rsidRPr="00D10F25">
        <w:rPr>
          <w:rFonts w:ascii="Times New Roman" w:eastAsia="Calibri" w:hAnsi="Times New Roman" w:cs="Times New Roman"/>
          <w:color w:val="auto"/>
          <w:lang w:val="pt-BR" w:eastAsia="en-US"/>
        </w:rPr>
        <w:t xml:space="preserve"> ar</w:t>
      </w:r>
      <w:r>
        <w:rPr>
          <w:rFonts w:ascii="Times New Roman" w:eastAsia="Calibri" w:hAnsi="Times New Roman" w:cs="Times New Roman"/>
          <w:color w:val="auto"/>
          <w:lang w:val="pt-BR" w:eastAsia="en-US"/>
        </w:rPr>
        <w:t>t.</w:t>
      </w:r>
      <w:r w:rsidRPr="00D10F25">
        <w:rPr>
          <w:rFonts w:ascii="Times New Roman" w:eastAsia="Calibri" w:hAnsi="Times New Roman" w:cs="Times New Roman"/>
          <w:color w:val="auto"/>
          <w:lang w:val="pt-BR" w:eastAsia="en-US"/>
        </w:rPr>
        <w:t xml:space="preserve"> 133, II</w:t>
      </w:r>
      <w:r>
        <w:rPr>
          <w:rFonts w:ascii="Times New Roman" w:eastAsia="Calibri" w:hAnsi="Times New Roman" w:cs="Times New Roman"/>
          <w:color w:val="auto"/>
          <w:lang w:val="pt-BR" w:eastAsia="en-US"/>
        </w:rPr>
        <w:t>,</w:t>
      </w:r>
      <w:r w:rsidRPr="00D10F25">
        <w:rPr>
          <w:rFonts w:ascii="Times New Roman" w:eastAsia="Calibri" w:hAnsi="Times New Roman" w:cs="Times New Roman"/>
          <w:color w:val="auto"/>
          <w:lang w:val="pt-BR" w:eastAsia="en-US"/>
        </w:rPr>
        <w:t xml:space="preserve"> da CLT,</w:t>
      </w:r>
      <w:r>
        <w:rPr>
          <w:rFonts w:ascii="Times New Roman" w:eastAsia="Calibri" w:hAnsi="Times New Roman" w:cs="Times New Roman"/>
          <w:color w:val="auto"/>
          <w:lang w:val="pt-BR" w:eastAsia="en-US"/>
        </w:rPr>
        <w:t xml:space="preserve"> ao prescrever que</w:t>
      </w:r>
      <w:r w:rsidRPr="00D10F25">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não terá direito a férias</w:t>
      </w:r>
      <w:r w:rsidRPr="00D10F25">
        <w:rPr>
          <w:rFonts w:ascii="Times New Roman" w:eastAsia="Calibri" w:hAnsi="Times New Roman" w:cs="Times New Roman"/>
          <w:color w:val="auto"/>
          <w:lang w:val="pt-BR" w:eastAsia="en-US"/>
        </w:rPr>
        <w:t xml:space="preserve"> o empregado que, no curso do período aqu</w:t>
      </w:r>
      <w:r>
        <w:rPr>
          <w:rFonts w:ascii="Times New Roman" w:eastAsia="Calibri" w:hAnsi="Times New Roman" w:cs="Times New Roman"/>
          <w:color w:val="auto"/>
          <w:lang w:val="pt-BR" w:eastAsia="en-US"/>
        </w:rPr>
        <w:t>isitivo, desfrutar de mais de trinta</w:t>
      </w:r>
      <w:r w:rsidRPr="00D10F25">
        <w:rPr>
          <w:rFonts w:ascii="Times New Roman" w:eastAsia="Calibri" w:hAnsi="Times New Roman" w:cs="Times New Roman"/>
          <w:color w:val="auto"/>
          <w:lang w:val="pt-BR" w:eastAsia="en-US"/>
        </w:rPr>
        <w:t xml:space="preserve"> dias de licença remunerada, </w:t>
      </w:r>
      <w:r>
        <w:rPr>
          <w:rFonts w:ascii="Times New Roman" w:eastAsia="Calibri" w:hAnsi="Times New Roman" w:cs="Times New Roman"/>
          <w:color w:val="auto"/>
          <w:lang w:val="pt-BR" w:eastAsia="en-US"/>
        </w:rPr>
        <w:t>teve por objetivo evitar</w:t>
      </w:r>
      <w:r w:rsidRPr="00F30BA7">
        <w:rPr>
          <w:rFonts w:ascii="Times New Roman" w:eastAsia="Calibri" w:hAnsi="Times New Roman" w:cs="Times New Roman"/>
          <w:color w:val="auto"/>
          <w:lang w:val="pt-BR" w:eastAsia="en-US"/>
        </w:rPr>
        <w:t xml:space="preserve"> a duplicidade de gozo de férias</w:t>
      </w:r>
      <w:r>
        <w:rPr>
          <w:rFonts w:ascii="Times New Roman" w:eastAsia="Calibri" w:hAnsi="Times New Roman" w:cs="Times New Roman"/>
          <w:color w:val="auto"/>
          <w:lang w:val="pt-BR" w:eastAsia="en-US"/>
        </w:rPr>
        <w:t xml:space="preserve"> no mesmo período aquisitivo, sem, contudo, retirar o direito ao</w:t>
      </w:r>
      <w:r w:rsidRPr="00F30BA7">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terço constitucional</w:t>
      </w:r>
      <w:r w:rsidRPr="00F30BA7">
        <w:rPr>
          <w:rFonts w:ascii="Times New Roman" w:eastAsia="Calibri" w:hAnsi="Times New Roman" w:cs="Times New Roman"/>
          <w:color w:val="auto"/>
          <w:lang w:val="pt-BR" w:eastAsia="en-US"/>
        </w:rPr>
        <w:t>.</w:t>
      </w:r>
      <w:r>
        <w:rPr>
          <w:rFonts w:ascii="Times New Roman" w:eastAsia="Calibri" w:hAnsi="Times New Roman" w:cs="Times New Roman"/>
          <w:color w:val="auto"/>
          <w:lang w:val="pt-BR" w:eastAsia="en-US"/>
        </w:rPr>
        <w:t xml:space="preserve"> </w:t>
      </w:r>
      <w:r w:rsidRPr="00895CC6">
        <w:rPr>
          <w:rFonts w:ascii="Times New Roman" w:eastAsia="Calibri" w:hAnsi="Times New Roman" w:cs="Times New Roman"/>
          <w:color w:val="auto"/>
          <w:lang w:val="pt-BR" w:eastAsia="en-US"/>
        </w:rPr>
        <w:t xml:space="preserve">Com esse entendimento, a SBDI-I, por </w:t>
      </w:r>
      <w:r>
        <w:rPr>
          <w:rFonts w:ascii="Times New Roman" w:eastAsia="Calibri" w:hAnsi="Times New Roman" w:cs="Times New Roman"/>
          <w:color w:val="auto"/>
          <w:lang w:val="pt-BR" w:eastAsia="en-US"/>
        </w:rPr>
        <w:t>unanimidade</w:t>
      </w:r>
      <w:r w:rsidRPr="00895CC6">
        <w:rPr>
          <w:rFonts w:ascii="Times New Roman" w:eastAsia="Calibri" w:hAnsi="Times New Roman" w:cs="Times New Roman"/>
          <w:color w:val="auto"/>
          <w:lang w:val="pt-BR" w:eastAsia="en-US"/>
        </w:rPr>
        <w:t xml:space="preserve">, conheceu dos </w:t>
      </w:r>
      <w:r>
        <w:rPr>
          <w:rFonts w:ascii="Times New Roman" w:eastAsia="Calibri" w:hAnsi="Times New Roman" w:cs="Times New Roman"/>
          <w:color w:val="auto"/>
          <w:lang w:val="pt-BR" w:eastAsia="en-US"/>
        </w:rPr>
        <w:t xml:space="preserve">embargos interpostos pelo </w:t>
      </w:r>
      <w:r w:rsidRPr="00895CC6">
        <w:rPr>
          <w:rFonts w:ascii="Times New Roman" w:eastAsia="Calibri" w:hAnsi="Times New Roman" w:cs="Times New Roman"/>
          <w:color w:val="auto"/>
          <w:lang w:val="pt-BR" w:eastAsia="en-US"/>
        </w:rPr>
        <w:lastRenderedPageBreak/>
        <w:t>reclama</w:t>
      </w:r>
      <w:r>
        <w:rPr>
          <w:rFonts w:ascii="Times New Roman" w:eastAsia="Calibri" w:hAnsi="Times New Roman" w:cs="Times New Roman"/>
          <w:color w:val="auto"/>
          <w:lang w:val="pt-BR" w:eastAsia="en-US"/>
        </w:rPr>
        <w:t>nte</w:t>
      </w:r>
      <w:r w:rsidRPr="00895CC6">
        <w:rPr>
          <w:rFonts w:ascii="Times New Roman" w:eastAsia="Calibri" w:hAnsi="Times New Roman" w:cs="Times New Roman"/>
          <w:color w:val="auto"/>
          <w:lang w:val="pt-BR" w:eastAsia="en-US"/>
        </w:rPr>
        <w:t xml:space="preserve">, por divergência jurisprudencial, e, no mérito, </w:t>
      </w:r>
      <w:r>
        <w:rPr>
          <w:rFonts w:ascii="Times New Roman" w:eastAsia="Calibri" w:hAnsi="Times New Roman" w:cs="Times New Roman"/>
          <w:color w:val="auto"/>
          <w:lang w:val="pt-BR" w:eastAsia="en-US"/>
        </w:rPr>
        <w:t>deu</w:t>
      </w:r>
      <w:r w:rsidRPr="00895CC6">
        <w:rPr>
          <w:rFonts w:ascii="Times New Roman" w:eastAsia="Calibri" w:hAnsi="Times New Roman" w:cs="Times New Roman"/>
          <w:color w:val="auto"/>
          <w:lang w:val="pt-BR" w:eastAsia="en-US"/>
        </w:rPr>
        <w:t>-lhes provimento</w:t>
      </w:r>
      <w:r>
        <w:rPr>
          <w:rFonts w:ascii="Times New Roman" w:eastAsia="Calibri" w:hAnsi="Times New Roman" w:cs="Times New Roman"/>
          <w:color w:val="auto"/>
          <w:lang w:val="pt-BR" w:eastAsia="en-US"/>
        </w:rPr>
        <w:t xml:space="preserve"> para restabelecer o acórdão do Regional, que reformara a sentença para acrescer à condenação o pagamento do terço constitucional referente às férias do período aquisitivo compreendido entre 2.2.2001 e 1.2.2002. </w:t>
      </w:r>
      <w:hyperlink r:id="rId10" w:history="1">
        <w:r w:rsidRPr="00E843E2">
          <w:rPr>
            <w:rStyle w:val="Hyperlink"/>
            <w:rFonts w:ascii="Times New Roman" w:eastAsia="Calibri" w:hAnsi="Times New Roman"/>
            <w:lang w:val="pt-BR" w:eastAsia="en-US"/>
          </w:rPr>
          <w:t>TST-E-ED-RR-175700-12.2002.5.02.0463</w:t>
        </w:r>
      </w:hyperlink>
      <w:r w:rsidRPr="00E843E2">
        <w:rPr>
          <w:rFonts w:ascii="Times New Roman" w:eastAsia="Calibri" w:hAnsi="Times New Roman" w:cs="Times New Roman"/>
          <w:color w:val="auto"/>
          <w:u w:val="single"/>
          <w:lang w:val="pt-BR" w:eastAsia="en-US"/>
        </w:rPr>
        <w:t>, SBDI-I, rel</w:t>
      </w:r>
      <w:r>
        <w:rPr>
          <w:rFonts w:ascii="Times New Roman" w:eastAsia="Calibri" w:hAnsi="Times New Roman" w:cs="Times New Roman"/>
          <w:color w:val="auto"/>
          <w:u w:val="single"/>
          <w:lang w:val="pt-BR" w:eastAsia="en-US"/>
        </w:rPr>
        <w:t>. Min. João Oreste Dalazen, 29.</w:t>
      </w:r>
      <w:r w:rsidRPr="00E843E2">
        <w:rPr>
          <w:rFonts w:ascii="Times New Roman" w:eastAsia="Calibri" w:hAnsi="Times New Roman" w:cs="Times New Roman"/>
          <w:color w:val="auto"/>
          <w:u w:val="single"/>
          <w:lang w:val="pt-BR" w:eastAsia="en-US"/>
        </w:rPr>
        <w:t>5.2014</w:t>
      </w:r>
    </w:p>
    <w:p w:rsidR="0094620A" w:rsidRPr="0094620A" w:rsidRDefault="0094620A" w:rsidP="0094620A">
      <w:pPr>
        <w:jc w:val="center"/>
        <w:rPr>
          <w:b/>
          <w:i/>
        </w:rPr>
      </w:pP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94620A" w:rsidRPr="0094620A" w:rsidRDefault="0094620A" w:rsidP="00266180">
      <w:pPr>
        <w:jc w:val="both"/>
        <w:rPr>
          <w:u w:val="single"/>
        </w:rPr>
      </w:pPr>
    </w:p>
    <w:p w:rsidR="0094620A" w:rsidRPr="0094620A" w:rsidRDefault="0094620A" w:rsidP="0094620A">
      <w:pPr>
        <w:pStyle w:val="explicao0"/>
        <w:spacing w:line="240" w:lineRule="auto"/>
        <w:ind w:left="0"/>
        <w:rPr>
          <w:rFonts w:ascii="Times New Roman" w:hAnsi="Times New Roman"/>
          <w:b/>
          <w:bCs/>
          <w:iCs/>
          <w:szCs w:val="24"/>
        </w:rPr>
      </w:pPr>
      <w:r w:rsidRPr="0094620A">
        <w:rPr>
          <w:rFonts w:ascii="Times New Roman" w:hAnsi="Times New Roman"/>
          <w:b/>
          <w:bCs/>
          <w:iCs/>
          <w:szCs w:val="24"/>
        </w:rPr>
        <w:t>Execução. Competência. Local dos bens passíveis de expropriação ou atual domicílio do executado. Parágrafo único do art. 475-P do CPC. Aplicação subsidiária ao Processo do Trabalho. Impossibilidade. Ausência de omissão na CLT.</w:t>
      </w:r>
    </w:p>
    <w:p w:rsidR="0094620A" w:rsidRPr="0094620A" w:rsidRDefault="0094620A" w:rsidP="0094620A">
      <w:pPr>
        <w:jc w:val="both"/>
        <w:rPr>
          <w:sz w:val="24"/>
          <w:szCs w:val="24"/>
          <w:u w:val="single"/>
        </w:rPr>
      </w:pPr>
      <w:r w:rsidRPr="0094620A">
        <w:rPr>
          <w:sz w:val="24"/>
          <w:szCs w:val="24"/>
        </w:rPr>
        <w:t xml:space="preserve">Existindo previsão expressa no art. 877 da CLT a respeito da competência para a execução das decisões judiciais trabalhistas, a aplicação subsidiária ao Processo do Trabalho do parágrafo único do art. 475-P do CPC, no sentido de se permitir ao exequente optar pelo cumprimento da sentença pelo Juízo do local onde se encontram bens sujeitos à expropriação ou do atual domicílio do executado, implica contrariedade aos princípios da legalidade e do devido processo legal e respectiva ofensa ao art. 5º, II e LIV, da CF. Com esse entendimento, a SBDI-II, por unanimidade, conheceu do conflito negativo de competência e, no mérito, por maioria, julgou-o procedente, declarando a 1ª Vara do Trabalho de Itabaiana/SE competente para prosseguir na execução que se processa nos autos da reclamação trabalhista. Vencidos os Ministros Cláudio Mascarenhas Brandão, Delaíde Miranda Arantes e Douglas Alencar Rodrigues. </w:t>
      </w:r>
      <w:hyperlink r:id="rId11" w:history="1">
        <w:r w:rsidRPr="00EA424E">
          <w:rPr>
            <w:rStyle w:val="Hyperlink"/>
            <w:sz w:val="24"/>
            <w:szCs w:val="24"/>
          </w:rPr>
          <w:t>TST-CC-9941-32.2012.5.00.0000</w:t>
        </w:r>
      </w:hyperlink>
      <w:r w:rsidRPr="0094620A">
        <w:rPr>
          <w:sz w:val="24"/>
          <w:szCs w:val="24"/>
          <w:u w:val="single"/>
        </w:rPr>
        <w:t>, SBDI-II, rel. Min. Alberto Luiz Bresciani de Fontan Pereira, 27.5.2014</w:t>
      </w:r>
    </w:p>
    <w:p w:rsidR="0094620A" w:rsidRPr="00DF12AE" w:rsidRDefault="0094620A" w:rsidP="00266180">
      <w:pPr>
        <w:jc w:val="both"/>
        <w:rPr>
          <w:sz w:val="24"/>
          <w:szCs w:val="24"/>
        </w:rPr>
      </w:pPr>
    </w:p>
    <w:p w:rsidR="00266180" w:rsidRDefault="00266180" w:rsidP="00235356">
      <w:pPr>
        <w:jc w:val="both"/>
        <w:rPr>
          <w:rFonts w:cs="Courier New"/>
          <w:sz w:val="24"/>
          <w:szCs w:val="24"/>
        </w:rPr>
      </w:pPr>
    </w:p>
    <w:p w:rsidR="006456B1" w:rsidRPr="005D1DE4" w:rsidRDefault="006456B1" w:rsidP="004C2612">
      <w:pPr>
        <w:pStyle w:val="EXPLICAO"/>
        <w:ind w:left="0"/>
        <w:rPr>
          <w:rFonts w:ascii="Times New Roman" w:hAnsi="Times New Roman" w:cs="Times New Roman"/>
          <w:b/>
          <w:color w:val="auto"/>
        </w:rPr>
      </w:pPr>
    </w:p>
    <w:p w:rsidR="00C26DFB" w:rsidRPr="005D1DE4" w:rsidRDefault="00C26DFB">
      <w:pPr>
        <w:jc w:val="both"/>
        <w:rPr>
          <w:sz w:val="22"/>
          <w:szCs w:val="22"/>
          <w:u w:val="single"/>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2"/>
      <w:footerReference w:type="default" r:id="rId13"/>
      <w:headerReference w:type="first" r:id="rId14"/>
      <w:footerReference w:type="first" r:id="rId15"/>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31" w:rsidRDefault="005F6331">
      <w:r>
        <w:separator/>
      </w:r>
    </w:p>
  </w:endnote>
  <w:endnote w:type="continuationSeparator" w:id="0">
    <w:p w:rsidR="005F6331" w:rsidRDefault="005F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4101">
      <w:rPr>
        <w:rStyle w:val="Nmerodepgina"/>
        <w:noProof/>
      </w:rPr>
      <w:t>2</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554101">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31" w:rsidRDefault="005F6331">
      <w:r>
        <w:separator/>
      </w:r>
    </w:p>
  </w:footnote>
  <w:footnote w:type="continuationSeparator" w:id="0">
    <w:p w:rsidR="005F6331" w:rsidRDefault="005F6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454950">
      <w:rPr>
        <w:shadow/>
        <w:sz w:val="24"/>
        <w:szCs w:val="24"/>
      </w:rPr>
      <w:t>8</w:t>
    </w:r>
    <w:r w:rsidR="00944113">
      <w:rPr>
        <w:shadow/>
        <w:sz w:val="24"/>
        <w:szCs w:val="24"/>
      </w:rPr>
      <w:t>4</w:t>
    </w:r>
  </w:p>
  <w:p w:rsidR="00FE00AD" w:rsidRPr="00971E07" w:rsidRDefault="00187A37">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sidR="002168DE">
      <w:rPr>
        <w:sz w:val="20"/>
        <w:szCs w:val="20"/>
      </w:rPr>
      <w:t xml:space="preserve">Período: </w:t>
    </w:r>
    <w:r w:rsidR="00266180">
      <w:rPr>
        <w:sz w:val="20"/>
        <w:szCs w:val="20"/>
      </w:rPr>
      <w:t>2</w:t>
    </w:r>
    <w:r w:rsidR="00944113">
      <w:rPr>
        <w:sz w:val="20"/>
        <w:szCs w:val="20"/>
      </w:rPr>
      <w:t>7</w:t>
    </w:r>
    <w:r w:rsidR="008D57CB">
      <w:rPr>
        <w:sz w:val="20"/>
        <w:szCs w:val="20"/>
      </w:rPr>
      <w:t xml:space="preserve"> d</w:t>
    </w:r>
    <w:r w:rsidR="00FE00AD" w:rsidRPr="00971E07">
      <w:rPr>
        <w:sz w:val="20"/>
        <w:szCs w:val="20"/>
      </w:rPr>
      <w:t>e ma</w:t>
    </w:r>
    <w:r w:rsidR="00454950">
      <w:rPr>
        <w:sz w:val="20"/>
        <w:szCs w:val="20"/>
      </w:rPr>
      <w:t>io</w:t>
    </w:r>
    <w:r w:rsidR="00944113">
      <w:rPr>
        <w:sz w:val="20"/>
        <w:szCs w:val="20"/>
      </w:rPr>
      <w:t xml:space="preserve"> a 2 de junho</w:t>
    </w:r>
    <w:r w:rsidR="00FE00AD" w:rsidRPr="00971E07">
      <w:rPr>
        <w:sz w:val="20"/>
        <w:szCs w:val="20"/>
      </w:rPr>
      <w:t xml:space="preserve"> de 20</w:t>
    </w:r>
    <w:r w:rsidR="00E16E01" w:rsidRPr="00971E07">
      <w:rPr>
        <w:sz w:val="20"/>
        <w:szCs w:val="20"/>
      </w:rPr>
      <w:t>1</w:t>
    </w:r>
    <w:r w:rsidR="00454950">
      <w:rPr>
        <w:sz w:val="20"/>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25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A45EE6">
      <w:rPr>
        <w:b/>
        <w:sz w:val="40"/>
        <w:szCs w:val="40"/>
      </w:rPr>
      <w:t>8</w:t>
    </w:r>
    <w:r w:rsidR="00944113">
      <w:rPr>
        <w:b/>
        <w:sz w:val="40"/>
        <w:szCs w:val="40"/>
      </w:rPr>
      <w:t>4</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266180">
      <w:rPr>
        <w:i/>
        <w:iCs/>
      </w:rPr>
      <w:t>2</w:t>
    </w:r>
    <w:r w:rsidR="00944113">
      <w:rPr>
        <w:i/>
        <w:iCs/>
      </w:rPr>
      <w:t xml:space="preserve">7 </w:t>
    </w:r>
    <w:r w:rsidR="00A45EE6">
      <w:rPr>
        <w:i/>
        <w:iCs/>
      </w:rPr>
      <w:t>de maio</w:t>
    </w:r>
    <w:r w:rsidR="00944113">
      <w:rPr>
        <w:i/>
        <w:iCs/>
      </w:rPr>
      <w:t xml:space="preserve"> a 2 de junho</w:t>
    </w:r>
    <w:r w:rsidR="00FE00AD" w:rsidRPr="005D1DE4">
      <w:rPr>
        <w:i/>
        <w:iCs/>
      </w:rPr>
      <w:t xml:space="preserve"> de 201</w:t>
    </w:r>
    <w:r w:rsidR="00A45EE6">
      <w:rPr>
        <w:i/>
        <w:iCs/>
      </w:rPr>
      <w:t>4</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11575C"/>
    <w:rsid w:val="0011692E"/>
    <w:rsid w:val="00137564"/>
    <w:rsid w:val="00137DC1"/>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713B"/>
    <w:rsid w:val="001F030F"/>
    <w:rsid w:val="00206810"/>
    <w:rsid w:val="002168DE"/>
    <w:rsid w:val="00222FB4"/>
    <w:rsid w:val="00224AC2"/>
    <w:rsid w:val="00235356"/>
    <w:rsid w:val="0023559D"/>
    <w:rsid w:val="002402B0"/>
    <w:rsid w:val="002449F9"/>
    <w:rsid w:val="002635ED"/>
    <w:rsid w:val="00266180"/>
    <w:rsid w:val="002662BA"/>
    <w:rsid w:val="00266D49"/>
    <w:rsid w:val="00271C5C"/>
    <w:rsid w:val="00271E67"/>
    <w:rsid w:val="002730B5"/>
    <w:rsid w:val="00280594"/>
    <w:rsid w:val="00285064"/>
    <w:rsid w:val="00297911"/>
    <w:rsid w:val="002A219D"/>
    <w:rsid w:val="002A546D"/>
    <w:rsid w:val="002B4738"/>
    <w:rsid w:val="002B6377"/>
    <w:rsid w:val="002C2904"/>
    <w:rsid w:val="002E78CB"/>
    <w:rsid w:val="003307C6"/>
    <w:rsid w:val="0033397A"/>
    <w:rsid w:val="00337ECC"/>
    <w:rsid w:val="00352B27"/>
    <w:rsid w:val="0036325E"/>
    <w:rsid w:val="003671FE"/>
    <w:rsid w:val="003708FD"/>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772A"/>
    <w:rsid w:val="004323B0"/>
    <w:rsid w:val="00444E88"/>
    <w:rsid w:val="00454950"/>
    <w:rsid w:val="0045657C"/>
    <w:rsid w:val="004655CC"/>
    <w:rsid w:val="00466DB9"/>
    <w:rsid w:val="00486521"/>
    <w:rsid w:val="0048671E"/>
    <w:rsid w:val="00486DFC"/>
    <w:rsid w:val="004922D6"/>
    <w:rsid w:val="004A14FC"/>
    <w:rsid w:val="004A5264"/>
    <w:rsid w:val="004B21AD"/>
    <w:rsid w:val="004C011C"/>
    <w:rsid w:val="004C14EA"/>
    <w:rsid w:val="004C2118"/>
    <w:rsid w:val="004C2612"/>
    <w:rsid w:val="004C67CE"/>
    <w:rsid w:val="004D6000"/>
    <w:rsid w:val="004D6415"/>
    <w:rsid w:val="004D71E8"/>
    <w:rsid w:val="004E393E"/>
    <w:rsid w:val="004E4507"/>
    <w:rsid w:val="004E45C6"/>
    <w:rsid w:val="004E4619"/>
    <w:rsid w:val="004F0A7D"/>
    <w:rsid w:val="0051538E"/>
    <w:rsid w:val="00517E01"/>
    <w:rsid w:val="00521EEC"/>
    <w:rsid w:val="005460BD"/>
    <w:rsid w:val="00552042"/>
    <w:rsid w:val="00553197"/>
    <w:rsid w:val="0055409E"/>
    <w:rsid w:val="00554101"/>
    <w:rsid w:val="00556367"/>
    <w:rsid w:val="00556B35"/>
    <w:rsid w:val="00573E13"/>
    <w:rsid w:val="00584F82"/>
    <w:rsid w:val="00591DFA"/>
    <w:rsid w:val="0059479D"/>
    <w:rsid w:val="005A5695"/>
    <w:rsid w:val="005B2F00"/>
    <w:rsid w:val="005B57DE"/>
    <w:rsid w:val="005C1886"/>
    <w:rsid w:val="005C761E"/>
    <w:rsid w:val="005D0E5F"/>
    <w:rsid w:val="005D1DE4"/>
    <w:rsid w:val="005E35BD"/>
    <w:rsid w:val="005E3D4D"/>
    <w:rsid w:val="005E7FD1"/>
    <w:rsid w:val="005F2858"/>
    <w:rsid w:val="005F6331"/>
    <w:rsid w:val="006002E3"/>
    <w:rsid w:val="006145AC"/>
    <w:rsid w:val="00615F98"/>
    <w:rsid w:val="00621F9C"/>
    <w:rsid w:val="00631166"/>
    <w:rsid w:val="00631F1C"/>
    <w:rsid w:val="006366A4"/>
    <w:rsid w:val="006456B1"/>
    <w:rsid w:val="006564EC"/>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D5148"/>
    <w:rsid w:val="006F6C15"/>
    <w:rsid w:val="0070727E"/>
    <w:rsid w:val="00710D3A"/>
    <w:rsid w:val="0071315F"/>
    <w:rsid w:val="00721942"/>
    <w:rsid w:val="00722BE7"/>
    <w:rsid w:val="00732DF2"/>
    <w:rsid w:val="007614F1"/>
    <w:rsid w:val="007618C5"/>
    <w:rsid w:val="00764066"/>
    <w:rsid w:val="00776118"/>
    <w:rsid w:val="007B0F83"/>
    <w:rsid w:val="007D29A1"/>
    <w:rsid w:val="007E0EA7"/>
    <w:rsid w:val="007E3F23"/>
    <w:rsid w:val="007F142E"/>
    <w:rsid w:val="007F7B5E"/>
    <w:rsid w:val="00802B1A"/>
    <w:rsid w:val="0080615C"/>
    <w:rsid w:val="0081027F"/>
    <w:rsid w:val="0081742D"/>
    <w:rsid w:val="00821F4D"/>
    <w:rsid w:val="00823906"/>
    <w:rsid w:val="008409D3"/>
    <w:rsid w:val="00845559"/>
    <w:rsid w:val="00854DB8"/>
    <w:rsid w:val="00854EF2"/>
    <w:rsid w:val="00863B86"/>
    <w:rsid w:val="00871F69"/>
    <w:rsid w:val="008842D0"/>
    <w:rsid w:val="00884AC4"/>
    <w:rsid w:val="0088579D"/>
    <w:rsid w:val="008A7953"/>
    <w:rsid w:val="008B3081"/>
    <w:rsid w:val="008B32D4"/>
    <w:rsid w:val="008D0020"/>
    <w:rsid w:val="008D3C38"/>
    <w:rsid w:val="008D57CB"/>
    <w:rsid w:val="008D6A05"/>
    <w:rsid w:val="008E2AE5"/>
    <w:rsid w:val="008E3F89"/>
    <w:rsid w:val="008F26CB"/>
    <w:rsid w:val="008F6509"/>
    <w:rsid w:val="008F753A"/>
    <w:rsid w:val="008F79D9"/>
    <w:rsid w:val="009027C8"/>
    <w:rsid w:val="00925ABA"/>
    <w:rsid w:val="0093467A"/>
    <w:rsid w:val="0094155C"/>
    <w:rsid w:val="00944113"/>
    <w:rsid w:val="0094620A"/>
    <w:rsid w:val="00951531"/>
    <w:rsid w:val="00960A3B"/>
    <w:rsid w:val="00967DE0"/>
    <w:rsid w:val="00971E07"/>
    <w:rsid w:val="00980944"/>
    <w:rsid w:val="00986D77"/>
    <w:rsid w:val="009943EC"/>
    <w:rsid w:val="0099692E"/>
    <w:rsid w:val="009A32D5"/>
    <w:rsid w:val="009B6012"/>
    <w:rsid w:val="009C102D"/>
    <w:rsid w:val="009C110B"/>
    <w:rsid w:val="009C2A4F"/>
    <w:rsid w:val="009D4C59"/>
    <w:rsid w:val="009D7F91"/>
    <w:rsid w:val="009E20EF"/>
    <w:rsid w:val="009E26EE"/>
    <w:rsid w:val="009F21A2"/>
    <w:rsid w:val="00A226E3"/>
    <w:rsid w:val="00A32FBF"/>
    <w:rsid w:val="00A407EA"/>
    <w:rsid w:val="00A45EE6"/>
    <w:rsid w:val="00A51749"/>
    <w:rsid w:val="00A521B6"/>
    <w:rsid w:val="00A56962"/>
    <w:rsid w:val="00A6412C"/>
    <w:rsid w:val="00A75419"/>
    <w:rsid w:val="00A76661"/>
    <w:rsid w:val="00A76D2A"/>
    <w:rsid w:val="00A82081"/>
    <w:rsid w:val="00A8557E"/>
    <w:rsid w:val="00A91181"/>
    <w:rsid w:val="00A935AC"/>
    <w:rsid w:val="00AB299E"/>
    <w:rsid w:val="00AB507C"/>
    <w:rsid w:val="00AD6E76"/>
    <w:rsid w:val="00AE3EAA"/>
    <w:rsid w:val="00AE5EDF"/>
    <w:rsid w:val="00B14F7F"/>
    <w:rsid w:val="00B16EB9"/>
    <w:rsid w:val="00B22F24"/>
    <w:rsid w:val="00B22F53"/>
    <w:rsid w:val="00B24DBE"/>
    <w:rsid w:val="00B34EB2"/>
    <w:rsid w:val="00B517C3"/>
    <w:rsid w:val="00B518B2"/>
    <w:rsid w:val="00B526EA"/>
    <w:rsid w:val="00B536FE"/>
    <w:rsid w:val="00B73FFA"/>
    <w:rsid w:val="00B874F1"/>
    <w:rsid w:val="00BC1DE7"/>
    <w:rsid w:val="00BC5AEE"/>
    <w:rsid w:val="00BD6029"/>
    <w:rsid w:val="00BE0541"/>
    <w:rsid w:val="00BE1ADB"/>
    <w:rsid w:val="00C070DE"/>
    <w:rsid w:val="00C10670"/>
    <w:rsid w:val="00C26DFB"/>
    <w:rsid w:val="00C273FA"/>
    <w:rsid w:val="00C30D06"/>
    <w:rsid w:val="00C42067"/>
    <w:rsid w:val="00C432D0"/>
    <w:rsid w:val="00C4398E"/>
    <w:rsid w:val="00C60B4A"/>
    <w:rsid w:val="00C65BDB"/>
    <w:rsid w:val="00C71A3B"/>
    <w:rsid w:val="00C76CFA"/>
    <w:rsid w:val="00C963F8"/>
    <w:rsid w:val="00C96BB1"/>
    <w:rsid w:val="00CA109E"/>
    <w:rsid w:val="00CA2F80"/>
    <w:rsid w:val="00CB0C2A"/>
    <w:rsid w:val="00CC4B2B"/>
    <w:rsid w:val="00CC579C"/>
    <w:rsid w:val="00CC5F5F"/>
    <w:rsid w:val="00CD3460"/>
    <w:rsid w:val="00CD4B61"/>
    <w:rsid w:val="00CD5043"/>
    <w:rsid w:val="00CE2928"/>
    <w:rsid w:val="00CE314A"/>
    <w:rsid w:val="00D01C50"/>
    <w:rsid w:val="00D11B24"/>
    <w:rsid w:val="00D133C8"/>
    <w:rsid w:val="00D145A6"/>
    <w:rsid w:val="00D14DB8"/>
    <w:rsid w:val="00D244D5"/>
    <w:rsid w:val="00D2649E"/>
    <w:rsid w:val="00D2776A"/>
    <w:rsid w:val="00D413DB"/>
    <w:rsid w:val="00D420E2"/>
    <w:rsid w:val="00D4459D"/>
    <w:rsid w:val="00D573F9"/>
    <w:rsid w:val="00D6058B"/>
    <w:rsid w:val="00D63EC5"/>
    <w:rsid w:val="00D72C05"/>
    <w:rsid w:val="00D847CF"/>
    <w:rsid w:val="00DA0A99"/>
    <w:rsid w:val="00DA7603"/>
    <w:rsid w:val="00DA7E39"/>
    <w:rsid w:val="00DA7EDE"/>
    <w:rsid w:val="00DC0AB5"/>
    <w:rsid w:val="00DC50EB"/>
    <w:rsid w:val="00DD3FA0"/>
    <w:rsid w:val="00DE5B2D"/>
    <w:rsid w:val="00DE5CE9"/>
    <w:rsid w:val="00DF2B8D"/>
    <w:rsid w:val="00E03064"/>
    <w:rsid w:val="00E04BD5"/>
    <w:rsid w:val="00E070D2"/>
    <w:rsid w:val="00E1539C"/>
    <w:rsid w:val="00E162B6"/>
    <w:rsid w:val="00E16E01"/>
    <w:rsid w:val="00E24A50"/>
    <w:rsid w:val="00E35639"/>
    <w:rsid w:val="00E432CC"/>
    <w:rsid w:val="00E50711"/>
    <w:rsid w:val="00E60EDA"/>
    <w:rsid w:val="00E62BBC"/>
    <w:rsid w:val="00E9503C"/>
    <w:rsid w:val="00E956D9"/>
    <w:rsid w:val="00EA1958"/>
    <w:rsid w:val="00EA29F5"/>
    <w:rsid w:val="00EA424E"/>
    <w:rsid w:val="00EA482D"/>
    <w:rsid w:val="00EB5FE6"/>
    <w:rsid w:val="00EB61A5"/>
    <w:rsid w:val="00EB7A09"/>
    <w:rsid w:val="00EC5AF4"/>
    <w:rsid w:val="00ED661C"/>
    <w:rsid w:val="00EE41B5"/>
    <w:rsid w:val="00EE66C9"/>
    <w:rsid w:val="00EE7626"/>
    <w:rsid w:val="00EF11A9"/>
    <w:rsid w:val="00EF38E1"/>
    <w:rsid w:val="00EF749A"/>
    <w:rsid w:val="00EF771E"/>
    <w:rsid w:val="00F02565"/>
    <w:rsid w:val="00F05542"/>
    <w:rsid w:val="00F17A2C"/>
    <w:rsid w:val="00F26708"/>
    <w:rsid w:val="00F511EE"/>
    <w:rsid w:val="00F558E7"/>
    <w:rsid w:val="00F62016"/>
    <w:rsid w:val="00F627ED"/>
    <w:rsid w:val="00F63F44"/>
    <w:rsid w:val="00F6746D"/>
    <w:rsid w:val="00F811CD"/>
    <w:rsid w:val="00F82D8F"/>
    <w:rsid w:val="00F83F62"/>
    <w:rsid w:val="00F918A2"/>
    <w:rsid w:val="00F9711D"/>
    <w:rsid w:val="00FA75E0"/>
    <w:rsid w:val="00FB20B1"/>
    <w:rsid w:val="00FB3AB4"/>
    <w:rsid w:val="00FC56A4"/>
    <w:rsid w:val="00FD3D06"/>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8D57CB"/>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jc w:val="both"/>
    </w:pPr>
    <w:rPr>
      <w:rFonts w:ascii="Times New Roman" w:hAnsi="Times New Roman"/>
      <w:bCs/>
      <w:color w:val="000000"/>
      <w:sz w:val="24"/>
      <w:szCs w:val="24"/>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numdef">
    <w:name w:val="numdef"/>
    <w:rsid w:val="00552042"/>
  </w:style>
  <w:style w:type="paragraph" w:customStyle="1" w:styleId="corpo1">
    <w:name w:val="corpo"/>
    <w:basedOn w:val="Normal"/>
    <w:rsid w:val="004C67CE"/>
    <w:pPr>
      <w:autoSpaceDE/>
      <w:autoSpaceDN/>
      <w:spacing w:before="100" w:beforeAutospacing="1" w:after="100" w:afterAutospacing="1"/>
    </w:pPr>
    <w:rPr>
      <w:color w:val="000000"/>
      <w:sz w:val="24"/>
      <w:szCs w:val="24"/>
    </w:rPr>
  </w:style>
  <w:style w:type="character" w:customStyle="1" w:styleId="grame">
    <w:name w:val="grame"/>
    <w:rsid w:val="00A22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licacao5.tst.jus.br/consultaProcessual/consultaTstNumUnica.do?consulta=Consultar&amp;conscsjt=&amp;numeroTst=2453&amp;digitoTst=55&amp;anoTst=2014&amp;orgaoTst=5&amp;tribunalTst=00&amp;varaTst=0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cacao5.tst.jus.br/consultaProcessual/consultaTstNumUnica.do?consulta=Consultar&amp;conscsjt=&amp;numeroTst=9941&amp;digitoTst=32&amp;anoTst=2012&amp;orgaoTst=5&amp;tribunalTst=00&amp;varaTst=0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licacao5.tst.jus.br/consultaProcessual/consultaTstNumUnica.do?consulta=Consultar&amp;conscsjt=&amp;numeroTst=175700&amp;digitoTst=12&amp;anoTst=2002&amp;orgaoTst=5&amp;tribunalTst=02&amp;varaTst=0463" TargetMode="External"/><Relationship Id="rId4" Type="http://schemas.openxmlformats.org/officeDocument/2006/relationships/settings" Target="settings.xml"/><Relationship Id="rId9" Type="http://schemas.openxmlformats.org/officeDocument/2006/relationships/hyperlink" Target="https://aplicacao5.tst.jus.br/consultaProcessual/consultaTstNumUnica.do?consulta=Consultar&amp;conscsjt=&amp;numeroTst=25600&amp;digitoTst=66&amp;anoTst=2007&amp;orgaoTst=5&amp;tribunalTst=10&amp;varaTst=000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C8BB-C5D2-4211-981E-A8C5A3CE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6296</CharactersWithSpaces>
  <SharedDoc>false</SharedDoc>
  <HLinks>
    <vt:vector size="24" baseType="variant">
      <vt:variant>
        <vt:i4>6684786</vt:i4>
      </vt:variant>
      <vt:variant>
        <vt:i4>9</vt:i4>
      </vt:variant>
      <vt:variant>
        <vt:i4>0</vt:i4>
      </vt:variant>
      <vt:variant>
        <vt:i4>5</vt:i4>
      </vt:variant>
      <vt:variant>
        <vt:lpwstr>https://aplicacao5.tst.jus.br/consultaProcessual/consultaTstNumUnica.do?consulta=Consultar&amp;conscsjt=&amp;numeroTst=9941&amp;digitoTst=32&amp;anoTst=2012&amp;orgaoTst=5&amp;tribunalTst=00&amp;varaTst=0000</vt:lpwstr>
      </vt:variant>
      <vt:variant>
        <vt:lpwstr/>
      </vt:variant>
      <vt:variant>
        <vt:i4>5963853</vt:i4>
      </vt:variant>
      <vt:variant>
        <vt:i4>6</vt:i4>
      </vt:variant>
      <vt:variant>
        <vt:i4>0</vt:i4>
      </vt:variant>
      <vt:variant>
        <vt:i4>5</vt:i4>
      </vt:variant>
      <vt:variant>
        <vt:lpwstr>https://aplicacao5.tst.jus.br/consultaProcessual/consultaTstNumUnica.do?consulta=Consultar&amp;conscsjt=&amp;numeroTst=175700&amp;digitoTst=12&amp;anoTst=2002&amp;orgaoTst=5&amp;tribunalTst=02&amp;varaTst=0463</vt:lpwstr>
      </vt:variant>
      <vt:variant>
        <vt:lpwstr/>
      </vt:variant>
      <vt:variant>
        <vt:i4>1048576</vt:i4>
      </vt:variant>
      <vt:variant>
        <vt:i4>3</vt:i4>
      </vt:variant>
      <vt:variant>
        <vt:i4>0</vt:i4>
      </vt:variant>
      <vt:variant>
        <vt:i4>5</vt:i4>
      </vt:variant>
      <vt:variant>
        <vt:lpwstr>https://aplicacao5.tst.jus.br/consultaProcessual/consultaTstNumUnica.do?consulta=Consultar&amp;conscsjt=&amp;numeroTst=25600&amp;digitoTst=66&amp;anoTst=2007&amp;orgaoTst=5&amp;tribunalTst=10&amp;varaTst=0004</vt:lpwstr>
      </vt:variant>
      <vt:variant>
        <vt:lpwstr/>
      </vt:variant>
      <vt:variant>
        <vt:i4>7143547</vt:i4>
      </vt:variant>
      <vt:variant>
        <vt:i4>0</vt:i4>
      </vt:variant>
      <vt:variant>
        <vt:i4>0</vt:i4>
      </vt:variant>
      <vt:variant>
        <vt:i4>5</vt:i4>
      </vt:variant>
      <vt:variant>
        <vt:lpwstr>https://aplicacao5.tst.jus.br/consultaProcessual/consultaTstNumUnica.do?consulta=Consultar&amp;conscsjt=&amp;numeroTst=2453&amp;digitoTst=55&amp;anoTst=2014&amp;orgaoTst=5&amp;tribunalTst=00&amp;varaTst=0000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2014-06-02T15:43:00Z</cp:lastPrinted>
  <dcterms:created xsi:type="dcterms:W3CDTF">2018-06-27T21:47:00Z</dcterms:created>
  <dcterms:modified xsi:type="dcterms:W3CDTF">2018-06-27T21:47:00Z</dcterms:modified>
</cp:coreProperties>
</file>