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0B1" w:rsidRPr="00FB20B1" w:rsidRDefault="00FB20B1">
      <w:pPr>
        <w:rPr>
          <w:sz w:val="10"/>
          <w:szCs w:val="10"/>
        </w:rPr>
      </w:pPr>
      <w:bookmarkStart w:id="0" w:name="_GoBack"/>
      <w:bookmarkEnd w:id="0"/>
    </w:p>
    <w:tbl>
      <w:tblPr>
        <w:tblW w:w="9538" w:type="dxa"/>
        <w:tblInd w:w="70" w:type="dxa"/>
        <w:tblLayout w:type="fixed"/>
        <w:tblCellMar>
          <w:left w:w="70" w:type="dxa"/>
          <w:right w:w="70" w:type="dxa"/>
        </w:tblCellMar>
        <w:tblLook w:val="0000" w:firstRow="0" w:lastRow="0" w:firstColumn="0" w:lastColumn="0" w:noHBand="0" w:noVBand="0"/>
      </w:tblPr>
      <w:tblGrid>
        <w:gridCol w:w="9538"/>
      </w:tblGrid>
      <w:tr w:rsidR="00C26DFB" w:rsidRPr="00187A37" w:rsidTr="00FB20B1">
        <w:tblPrEx>
          <w:tblCellMar>
            <w:top w:w="0" w:type="dxa"/>
            <w:bottom w:w="0" w:type="dxa"/>
          </w:tblCellMar>
        </w:tblPrEx>
        <w:trPr>
          <w:trHeight w:val="537"/>
        </w:trPr>
        <w:tc>
          <w:tcPr>
            <w:tcW w:w="9538" w:type="dxa"/>
          </w:tcPr>
          <w:p w:rsidR="00C26DFB" w:rsidRPr="00187A37" w:rsidRDefault="00C26DFB" w:rsidP="00DC50EB">
            <w:pPr>
              <w:pStyle w:val="Cabealho"/>
              <w:tabs>
                <w:tab w:val="clear" w:pos="4419"/>
                <w:tab w:val="clear" w:pos="8838"/>
              </w:tabs>
              <w:jc w:val="both"/>
              <w:rPr>
                <w:sz w:val="10"/>
                <w:szCs w:val="10"/>
              </w:rPr>
            </w:pPr>
            <w:r w:rsidRPr="00187A37">
              <w:rPr>
                <w:sz w:val="16"/>
                <w:szCs w:val="16"/>
              </w:rPr>
              <w:t>Este Informativo, elaborado a partir de notas tomadas nas sessões de julgamentos, contém resumos não</w:t>
            </w:r>
            <w:r w:rsidR="00DC50EB" w:rsidRPr="00187A37">
              <w:rPr>
                <w:sz w:val="16"/>
                <w:szCs w:val="16"/>
              </w:rPr>
              <w:t xml:space="preserve"> </w:t>
            </w:r>
            <w:r w:rsidRPr="00187A37">
              <w:rPr>
                <w:sz w:val="16"/>
                <w:szCs w:val="16"/>
              </w:rPr>
              <w:t>oficiais de decisões proferidas pelo Tribunal. A fidelidade dos resumos ao conteúdo efetivo das decisões, embora seja uma das metas perseguidas neste trabalho, somente poderá ser aferida após a sua publicação no Diário</w:t>
            </w:r>
            <w:r w:rsidR="00980944" w:rsidRPr="00187A37">
              <w:rPr>
                <w:sz w:val="16"/>
                <w:szCs w:val="16"/>
              </w:rPr>
              <w:t xml:space="preserve"> Eletrônico </w:t>
            </w:r>
            <w:r w:rsidRPr="00187A37">
              <w:rPr>
                <w:sz w:val="16"/>
                <w:szCs w:val="16"/>
              </w:rPr>
              <w:t>da Justiça</w:t>
            </w:r>
            <w:r w:rsidR="00980944" w:rsidRPr="00187A37">
              <w:rPr>
                <w:sz w:val="16"/>
                <w:szCs w:val="16"/>
              </w:rPr>
              <w:t xml:space="preserve"> do Trabalho</w:t>
            </w:r>
            <w:r w:rsidRPr="00187A37">
              <w:rPr>
                <w:sz w:val="16"/>
                <w:szCs w:val="16"/>
              </w:rPr>
              <w:t>.</w:t>
            </w:r>
          </w:p>
        </w:tc>
      </w:tr>
    </w:tbl>
    <w:p w:rsidR="00EA29F5" w:rsidRPr="005D1DE4" w:rsidRDefault="00EA29F5" w:rsidP="00EA29F5">
      <w:pPr>
        <w:pStyle w:val="Corpodetexto2"/>
        <w:jc w:val="center"/>
        <w:rPr>
          <w:b/>
          <w:bCs/>
          <w:emboss/>
          <w:sz w:val="10"/>
          <w:szCs w:val="10"/>
        </w:rPr>
      </w:pPr>
    </w:p>
    <w:p w:rsidR="00631F1C" w:rsidRPr="00971E07" w:rsidRDefault="00631F1C" w:rsidP="00631F1C">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6"/>
          <w:szCs w:val="26"/>
          <w:lang w:val="pt-BR"/>
        </w:rPr>
      </w:pPr>
      <w:r w:rsidRPr="00971E07">
        <w:rPr>
          <w:rFonts w:ascii="Times New Roman" w:hAnsi="Times New Roman" w:cs="Times New Roman"/>
          <w:b/>
          <w:bCs/>
          <w:shadow/>
          <w:color w:val="auto"/>
          <w:sz w:val="26"/>
          <w:szCs w:val="26"/>
          <w:lang w:val="pt-BR"/>
        </w:rPr>
        <w:t>S</w:t>
      </w:r>
      <w:r>
        <w:rPr>
          <w:rFonts w:ascii="Times New Roman" w:hAnsi="Times New Roman" w:cs="Times New Roman"/>
          <w:b/>
          <w:bCs/>
          <w:shadow/>
          <w:color w:val="auto"/>
          <w:sz w:val="26"/>
          <w:szCs w:val="26"/>
          <w:lang w:val="pt-BR"/>
        </w:rPr>
        <w:t xml:space="preserve">UBSEÇÃO I </w:t>
      </w:r>
      <w:r w:rsidRPr="00971E07">
        <w:rPr>
          <w:rFonts w:ascii="Times New Roman" w:hAnsi="Times New Roman" w:cs="Times New Roman"/>
          <w:b/>
          <w:bCs/>
          <w:shadow/>
          <w:color w:val="auto"/>
          <w:sz w:val="26"/>
          <w:szCs w:val="26"/>
          <w:lang w:val="pt-BR"/>
        </w:rPr>
        <w:t xml:space="preserve">ESPECIALIZADA EM DISSÍDIOS </w:t>
      </w:r>
      <w:r>
        <w:rPr>
          <w:rFonts w:ascii="Times New Roman" w:hAnsi="Times New Roman" w:cs="Times New Roman"/>
          <w:b/>
          <w:bCs/>
          <w:shadow/>
          <w:color w:val="auto"/>
          <w:sz w:val="26"/>
          <w:szCs w:val="26"/>
          <w:lang w:val="pt-BR"/>
        </w:rPr>
        <w:t>INDIVIDUAIS</w:t>
      </w:r>
    </w:p>
    <w:p w:rsidR="007A609B" w:rsidRPr="007A609B" w:rsidRDefault="007A609B" w:rsidP="00970F42">
      <w:pPr>
        <w:jc w:val="both"/>
        <w:rPr>
          <w:u w:val="single"/>
        </w:rPr>
      </w:pPr>
    </w:p>
    <w:p w:rsidR="007A609B" w:rsidRPr="00895CC6" w:rsidRDefault="007A609B" w:rsidP="007A609B">
      <w:pPr>
        <w:jc w:val="both"/>
        <w:rPr>
          <w:b/>
          <w:i/>
          <w:sz w:val="24"/>
          <w:szCs w:val="24"/>
        </w:rPr>
      </w:pPr>
      <w:r>
        <w:rPr>
          <w:b/>
          <w:i/>
          <w:sz w:val="24"/>
          <w:szCs w:val="24"/>
        </w:rPr>
        <w:t xml:space="preserve">Transporte fornecido pela empresa. Espera. Tempo à disposição do empregador. Configuração. </w:t>
      </w:r>
    </w:p>
    <w:p w:rsidR="007A609B" w:rsidRDefault="007A609B" w:rsidP="007A609B">
      <w:pPr>
        <w:pStyle w:val="Corpo"/>
        <w:spacing w:line="240" w:lineRule="auto"/>
        <w:ind w:firstLine="0"/>
        <w:rPr>
          <w:rFonts w:ascii="Times New Roman" w:hAnsi="Times New Roman"/>
          <w:u w:val="single"/>
          <w:lang w:val="pt-BR"/>
        </w:rPr>
      </w:pPr>
      <w:r w:rsidRPr="00B15236">
        <w:rPr>
          <w:rFonts w:ascii="Times New Roman" w:eastAsia="Calibri" w:hAnsi="Times New Roman" w:cs="Times New Roman"/>
          <w:color w:val="auto"/>
          <w:lang w:val="pt-BR" w:eastAsia="en-US"/>
        </w:rPr>
        <w:t xml:space="preserve">Presentes os requisitos necessários ao deferimento das horas </w:t>
      </w:r>
      <w:r w:rsidRPr="00B15236">
        <w:rPr>
          <w:rFonts w:ascii="Times New Roman" w:eastAsia="Calibri" w:hAnsi="Times New Roman" w:cs="Times New Roman"/>
          <w:i/>
          <w:color w:val="auto"/>
          <w:lang w:val="pt-BR" w:eastAsia="en-US"/>
        </w:rPr>
        <w:t>in itinere</w:t>
      </w:r>
      <w:r w:rsidRPr="00B15236">
        <w:rPr>
          <w:rFonts w:ascii="Times New Roman" w:eastAsia="Calibri" w:hAnsi="Times New Roman" w:cs="Times New Roman"/>
          <w:color w:val="auto"/>
          <w:lang w:val="pt-BR" w:eastAsia="en-US"/>
        </w:rPr>
        <w:t>, também é considerado tempo</w:t>
      </w:r>
      <w:r>
        <w:rPr>
          <w:rFonts w:ascii="Times New Roman" w:eastAsia="Calibri" w:hAnsi="Times New Roman" w:cs="Times New Roman"/>
          <w:color w:val="auto"/>
          <w:lang w:val="pt-BR" w:eastAsia="en-US"/>
        </w:rPr>
        <w:t xml:space="preserve"> à</w:t>
      </w:r>
      <w:r w:rsidRPr="00B15236">
        <w:rPr>
          <w:rFonts w:ascii="Times New Roman" w:eastAsia="Calibri" w:hAnsi="Times New Roman" w:cs="Times New Roman"/>
          <w:color w:val="auto"/>
          <w:lang w:val="pt-BR" w:eastAsia="en-US"/>
        </w:rPr>
        <w:t xml:space="preserve"> disposição do empregador aqu</w:t>
      </w:r>
      <w:r>
        <w:rPr>
          <w:rFonts w:ascii="Times New Roman" w:eastAsia="Calibri" w:hAnsi="Times New Roman" w:cs="Times New Roman"/>
          <w:color w:val="auto"/>
          <w:lang w:val="pt-BR" w:eastAsia="en-US"/>
        </w:rPr>
        <w:t>ele em que o empregado aguarda o transporte fornecido pela</w:t>
      </w:r>
      <w:r w:rsidRPr="00B15236">
        <w:rPr>
          <w:rFonts w:ascii="Times New Roman" w:eastAsia="Calibri" w:hAnsi="Times New Roman" w:cs="Times New Roman"/>
          <w:color w:val="auto"/>
          <w:lang w:val="pt-BR" w:eastAsia="en-US"/>
        </w:rPr>
        <w:t xml:space="preserve"> empresa. Todavia, </w:t>
      </w:r>
      <w:r>
        <w:rPr>
          <w:rFonts w:ascii="Times New Roman" w:eastAsia="Calibri" w:hAnsi="Times New Roman" w:cs="Times New Roman"/>
          <w:color w:val="auto"/>
          <w:lang w:val="pt-BR" w:eastAsia="en-US"/>
        </w:rPr>
        <w:t>tendo em conta que a jurisprudência do TST admite certa flexibilização quanto ao cômputo de pequenas variações de tempo (Súmulas nº</w:t>
      </w:r>
      <w:r w:rsidRPr="007A609B">
        <w:rPr>
          <w:rFonts w:ascii="Times New Roman" w:eastAsia="Calibri" w:hAnsi="Times New Roman" w:cs="Times New Roman"/>
          <w:color w:val="auto"/>
          <w:vertAlign w:val="superscript"/>
          <w:lang w:val="pt-BR" w:eastAsia="en-US"/>
        </w:rPr>
        <w:t>s</w:t>
      </w:r>
      <w:r>
        <w:rPr>
          <w:rFonts w:ascii="Times New Roman" w:eastAsia="Calibri" w:hAnsi="Times New Roman" w:cs="Times New Roman"/>
          <w:color w:val="auto"/>
          <w:lang w:val="pt-BR" w:eastAsia="en-US"/>
        </w:rPr>
        <w:t xml:space="preserve"> 366 e 429 do TST), devem ser tolerados dez minutos diários para a fixação da jornada. Ultrapassado esse limite, porém, todo o tempo despendido deve ser computado. Com esse entendimento, a SBDI-I, por unanimidade, conheceu dos embargos interpostos pelo reclamado, por divergência jurisprudencial e, no mérito, por maioria, negou-lhes provimento, prevalecendo, portanto, a decisão do TRT que manteve o deferimento de trinta minutos diários a título de horas de espera. Vencidos os Ministros João Oreste Dalazen e Renato de Lacerda Paiva, que davam provimento ao recurso para afastar da condenação o tempo em que o empregado aguarda a condução, por entenderem que não há amparo legal para considerá-lo tempo à disposição do empregador. </w:t>
      </w:r>
      <w:hyperlink r:id="rId8" w:history="1">
        <w:r w:rsidRPr="007A609B">
          <w:rPr>
            <w:rStyle w:val="Hyperlink"/>
            <w:rFonts w:ascii="Times New Roman" w:hAnsi="Times New Roman" w:cs="Courier New"/>
            <w:lang w:val="pt-BR"/>
          </w:rPr>
          <w:t>TST-E-RR-96-81.2012.5.18.0191</w:t>
        </w:r>
      </w:hyperlink>
      <w:r w:rsidRPr="00895CC6">
        <w:rPr>
          <w:rFonts w:ascii="Times New Roman" w:hAnsi="Times New Roman"/>
          <w:u w:val="single"/>
          <w:lang w:val="pt-BR"/>
        </w:rPr>
        <w:t xml:space="preserve">, SBDI-I, rel. Min. </w:t>
      </w:r>
      <w:r>
        <w:rPr>
          <w:rFonts w:ascii="Times New Roman" w:hAnsi="Times New Roman"/>
          <w:u w:val="single"/>
          <w:lang w:val="pt-BR"/>
        </w:rPr>
        <w:t>Alexandre Agra Belmonte</w:t>
      </w:r>
      <w:r w:rsidRPr="00895CC6">
        <w:rPr>
          <w:rFonts w:ascii="Times New Roman" w:hAnsi="Times New Roman"/>
          <w:u w:val="single"/>
          <w:lang w:val="pt-BR"/>
        </w:rPr>
        <w:t xml:space="preserve">, </w:t>
      </w:r>
      <w:r>
        <w:rPr>
          <w:rFonts w:ascii="Times New Roman" w:hAnsi="Times New Roman"/>
          <w:u w:val="single"/>
          <w:lang w:val="pt-BR"/>
        </w:rPr>
        <w:t>24.4.2014</w:t>
      </w:r>
    </w:p>
    <w:p w:rsidR="007A609B" w:rsidRPr="007A609B" w:rsidRDefault="007A609B" w:rsidP="007A609B">
      <w:pPr>
        <w:pStyle w:val="Corpo"/>
        <w:spacing w:line="240" w:lineRule="auto"/>
        <w:ind w:firstLine="0"/>
        <w:rPr>
          <w:rFonts w:ascii="Times New Roman" w:eastAsia="Calibri" w:hAnsi="Times New Roman" w:cs="Times New Roman"/>
          <w:color w:val="auto"/>
          <w:sz w:val="20"/>
          <w:szCs w:val="20"/>
          <w:lang w:val="pt-BR" w:eastAsia="en-US"/>
        </w:rPr>
      </w:pPr>
    </w:p>
    <w:p w:rsidR="00D61B6D" w:rsidRPr="005D1DE4" w:rsidRDefault="00D61B6D" w:rsidP="00D61B6D">
      <w:pPr>
        <w:pStyle w:val="Corpodetexto2"/>
        <w:jc w:val="center"/>
        <w:rPr>
          <w:b/>
          <w:bCs/>
          <w:emboss/>
          <w:sz w:val="10"/>
          <w:szCs w:val="10"/>
        </w:rPr>
      </w:pPr>
    </w:p>
    <w:p w:rsidR="00D61B6D" w:rsidRPr="00971E07" w:rsidRDefault="00D61B6D" w:rsidP="00D61B6D">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6"/>
          <w:szCs w:val="26"/>
          <w:lang w:val="pt-BR"/>
        </w:rPr>
      </w:pPr>
      <w:r w:rsidRPr="00971E07">
        <w:rPr>
          <w:rFonts w:ascii="Times New Roman" w:hAnsi="Times New Roman" w:cs="Times New Roman"/>
          <w:b/>
          <w:bCs/>
          <w:shadow/>
          <w:color w:val="auto"/>
          <w:sz w:val="26"/>
          <w:szCs w:val="26"/>
          <w:lang w:val="pt-BR"/>
        </w:rPr>
        <w:t>S</w:t>
      </w:r>
      <w:r>
        <w:rPr>
          <w:rFonts w:ascii="Times New Roman" w:hAnsi="Times New Roman" w:cs="Times New Roman"/>
          <w:b/>
          <w:bCs/>
          <w:shadow/>
          <w:color w:val="auto"/>
          <w:sz w:val="26"/>
          <w:szCs w:val="26"/>
          <w:lang w:val="pt-BR"/>
        </w:rPr>
        <w:t xml:space="preserve">UBSEÇÃO II </w:t>
      </w:r>
      <w:r w:rsidRPr="00971E07">
        <w:rPr>
          <w:rFonts w:ascii="Times New Roman" w:hAnsi="Times New Roman" w:cs="Times New Roman"/>
          <w:b/>
          <w:bCs/>
          <w:shadow/>
          <w:color w:val="auto"/>
          <w:sz w:val="26"/>
          <w:szCs w:val="26"/>
          <w:lang w:val="pt-BR"/>
        </w:rPr>
        <w:t xml:space="preserve">ESPECIALIZADA EM DISSÍDIOS </w:t>
      </w:r>
      <w:r>
        <w:rPr>
          <w:rFonts w:ascii="Times New Roman" w:hAnsi="Times New Roman" w:cs="Times New Roman"/>
          <w:b/>
          <w:bCs/>
          <w:shadow/>
          <w:color w:val="auto"/>
          <w:sz w:val="26"/>
          <w:szCs w:val="26"/>
          <w:lang w:val="pt-BR"/>
        </w:rPr>
        <w:t>INDIVIDUAIS</w:t>
      </w:r>
    </w:p>
    <w:p w:rsidR="00D61B6D" w:rsidRDefault="00D61B6D">
      <w:pPr>
        <w:jc w:val="both"/>
        <w:rPr>
          <w:sz w:val="22"/>
          <w:szCs w:val="22"/>
          <w:u w:val="single"/>
        </w:rPr>
      </w:pPr>
    </w:p>
    <w:p w:rsidR="007A609B" w:rsidRPr="008D6C83" w:rsidRDefault="007A609B" w:rsidP="007A609B">
      <w:pPr>
        <w:jc w:val="both"/>
        <w:rPr>
          <w:b/>
          <w:i/>
          <w:sz w:val="24"/>
          <w:szCs w:val="24"/>
        </w:rPr>
      </w:pPr>
      <w:r>
        <w:rPr>
          <w:b/>
          <w:i/>
          <w:sz w:val="24"/>
          <w:szCs w:val="24"/>
        </w:rPr>
        <w:t>Embargos interpostos em face de acórdão proferido pela SBDI-II em julgamento de recurso ordinário em mandado de segurança. Erro grosseiro. Não cabimento.</w:t>
      </w:r>
    </w:p>
    <w:p w:rsidR="007A609B" w:rsidRPr="00D72102" w:rsidRDefault="007A609B" w:rsidP="007A609B">
      <w:pPr>
        <w:jc w:val="both"/>
        <w:rPr>
          <w:sz w:val="24"/>
          <w:szCs w:val="24"/>
        </w:rPr>
      </w:pPr>
      <w:r>
        <w:rPr>
          <w:sz w:val="24"/>
          <w:szCs w:val="24"/>
        </w:rPr>
        <w:t xml:space="preserve">Configura-se erro grosseiro, inviabilizando a incidência do princípio da fungibilidade recursal, a interposição de embargos em face de acórdão proferido pela Subseção II Especializada em Dissídios Individuais em julgamento de recurso ordinário no mandado de segurança, porquanto não inserida dentre as hipóteses de cabimento elencadas no art. 894 da CLT. Com esses fundamentos, a SBDI-II, por unanimidade, não conheceu dos embargos. </w:t>
      </w:r>
      <w:hyperlink r:id="rId9" w:history="1">
        <w:r w:rsidRPr="007A609B">
          <w:rPr>
            <w:rStyle w:val="Hyperlink"/>
            <w:sz w:val="24"/>
            <w:szCs w:val="24"/>
          </w:rPr>
          <w:t>TST-RO-2418-83.2011.5.15.0000</w:t>
        </w:r>
      </w:hyperlink>
      <w:r>
        <w:rPr>
          <w:sz w:val="24"/>
          <w:szCs w:val="24"/>
          <w:u w:val="single"/>
        </w:rPr>
        <w:t>, SBDI-II</w:t>
      </w:r>
      <w:r w:rsidRPr="008D6C83">
        <w:rPr>
          <w:sz w:val="24"/>
          <w:szCs w:val="24"/>
          <w:u w:val="single"/>
        </w:rPr>
        <w:t xml:space="preserve">, rel. </w:t>
      </w:r>
      <w:r>
        <w:rPr>
          <w:sz w:val="24"/>
          <w:szCs w:val="24"/>
          <w:u w:val="single"/>
        </w:rPr>
        <w:t>Min. Emmanoel Pereira</w:t>
      </w:r>
      <w:r w:rsidRPr="008D6C83">
        <w:rPr>
          <w:sz w:val="24"/>
          <w:szCs w:val="24"/>
          <w:u w:val="single"/>
        </w:rPr>
        <w:t xml:space="preserve">, </w:t>
      </w:r>
      <w:r>
        <w:rPr>
          <w:sz w:val="24"/>
          <w:szCs w:val="24"/>
          <w:u w:val="single"/>
        </w:rPr>
        <w:t>29.4.2014</w:t>
      </w:r>
    </w:p>
    <w:p w:rsidR="00D61B6D" w:rsidRPr="007A609B" w:rsidRDefault="00D61B6D">
      <w:pPr>
        <w:jc w:val="both"/>
      </w:pPr>
    </w:p>
    <w:p w:rsidR="00D61B6D" w:rsidRDefault="00D61B6D">
      <w:pPr>
        <w:jc w:val="both"/>
        <w:rPr>
          <w:sz w:val="22"/>
          <w:szCs w:val="22"/>
          <w:u w:val="single"/>
        </w:rPr>
      </w:pPr>
    </w:p>
    <w:p w:rsidR="00D61B6D" w:rsidRPr="005D1DE4" w:rsidRDefault="00D61B6D">
      <w:pPr>
        <w:jc w:val="both"/>
        <w:rPr>
          <w:sz w:val="22"/>
          <w:szCs w:val="22"/>
          <w:u w:val="single"/>
        </w:rPr>
      </w:pPr>
    </w:p>
    <w:p w:rsidR="00184590" w:rsidRPr="005D1DE4"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0"/>
          <w:szCs w:val="20"/>
        </w:rPr>
      </w:pPr>
      <w:r w:rsidRPr="005D1DE4">
        <w:rPr>
          <w:b w:val="0"/>
          <w:bCs w:val="0"/>
          <w:snapToGrid w:val="0"/>
          <w:sz w:val="20"/>
          <w:szCs w:val="20"/>
        </w:rPr>
        <w:t xml:space="preserve">Informativo TST é mantido pela </w:t>
      </w:r>
    </w:p>
    <w:p w:rsidR="00184590" w:rsidRPr="005D1DE4"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0"/>
          <w:szCs w:val="20"/>
        </w:rPr>
      </w:pPr>
      <w:r w:rsidRPr="005D1DE4">
        <w:rPr>
          <w:b w:val="0"/>
          <w:bCs w:val="0"/>
          <w:snapToGrid w:val="0"/>
          <w:sz w:val="20"/>
          <w:szCs w:val="20"/>
        </w:rPr>
        <w:t>Coordenadoria de Jurisprudência – CJUR</w:t>
      </w:r>
    </w:p>
    <w:p w:rsidR="00184590" w:rsidRPr="005D1DE4"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rPr>
      </w:pPr>
      <w:r w:rsidRPr="005D1DE4">
        <w:rPr>
          <w:snapToGrid w:val="0"/>
        </w:rPr>
        <w:t>Informações/Sugestões/Críticas</w:t>
      </w:r>
      <w:r w:rsidRPr="005D1DE4">
        <w:rPr>
          <w:snapToGrid w:val="0"/>
          <w:sz w:val="22"/>
          <w:szCs w:val="22"/>
        </w:rPr>
        <w:t xml:space="preserve">: </w:t>
      </w:r>
      <w:r w:rsidRPr="005D1DE4">
        <w:rPr>
          <w:snapToGrid w:val="0"/>
        </w:rPr>
        <w:t>(61)3043</w:t>
      </w:r>
      <w:r w:rsidR="00352B27">
        <w:rPr>
          <w:snapToGrid w:val="0"/>
        </w:rPr>
        <w:t>-</w:t>
      </w:r>
      <w:r w:rsidRPr="005D1DE4">
        <w:rPr>
          <w:snapToGrid w:val="0"/>
        </w:rPr>
        <w:t>4</w:t>
      </w:r>
      <w:r w:rsidR="00D72C05" w:rsidRPr="005D1DE4">
        <w:rPr>
          <w:snapToGrid w:val="0"/>
        </w:rPr>
        <w:t>417</w:t>
      </w:r>
    </w:p>
    <w:p w:rsidR="007614F1" w:rsidRPr="005D1DE4"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2"/>
          <w:szCs w:val="22"/>
        </w:rPr>
      </w:pPr>
      <w:r w:rsidRPr="005D1DE4">
        <w:rPr>
          <w:snapToGrid w:val="0"/>
        </w:rPr>
        <w:t>cjur@tst.jus.br</w:t>
      </w:r>
    </w:p>
    <w:sectPr w:rsidR="007614F1" w:rsidRPr="005D1DE4" w:rsidSect="00912CF7">
      <w:headerReference w:type="default" r:id="rId10"/>
      <w:footerReference w:type="default" r:id="rId11"/>
      <w:headerReference w:type="first" r:id="rId12"/>
      <w:footerReference w:type="first" r:id="rId13"/>
      <w:type w:val="continuous"/>
      <w:pgSz w:w="11907" w:h="16839" w:code="9"/>
      <w:pgMar w:top="1304" w:right="992"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60E" w:rsidRDefault="0065360E">
      <w:r>
        <w:separator/>
      </w:r>
    </w:p>
  </w:endnote>
  <w:endnote w:type="continuationSeparator" w:id="0">
    <w:p w:rsidR="0065360E" w:rsidRDefault="0065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FE00AD">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A609B">
      <w:rPr>
        <w:rStyle w:val="Nmerodepgina"/>
        <w:noProof/>
      </w:rPr>
      <w:t>2</w:t>
    </w:r>
    <w:r>
      <w:rPr>
        <w:rStyle w:val="Nmerodepgina"/>
      </w:rPr>
      <w:fldChar w:fldCharType="end"/>
    </w:r>
  </w:p>
  <w:p w:rsidR="00FE00AD" w:rsidRDefault="00187A37">
    <w:pPr>
      <w:pStyle w:val="Rodap"/>
      <w:ind w:right="360"/>
    </w:pPr>
    <w:r>
      <w:rPr>
        <w:noProof/>
      </w:rPr>
      <w:pict>
        <v:line id="_x0000_s2050" style="position:absolute;z-index:251658240" from=".9pt,-3.55pt" to="497.7pt,-3.55pt" o:allowincell="f" strokecolor="#969696"/>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187A37">
    <w:pPr>
      <w:pStyle w:val="Rodap"/>
      <w:jc w:val="right"/>
    </w:pPr>
    <w:r>
      <w:rPr>
        <w:noProof/>
      </w:rPr>
      <w:pict>
        <v:line id="_x0000_s2054" style="position:absolute;left:0;text-align:left;flip:y;z-index:251659264" from=".9pt,-3.55pt" to="497.7pt,-3.4pt" o:allowincell="f" strokecolor="#969696"/>
      </w:pict>
    </w:r>
    <w:r w:rsidR="00FE00AD">
      <w:rPr>
        <w:rStyle w:val="Nmerodepgina"/>
      </w:rPr>
      <w:fldChar w:fldCharType="begin"/>
    </w:r>
    <w:r w:rsidR="00FE00AD">
      <w:rPr>
        <w:rStyle w:val="Nmerodepgina"/>
      </w:rPr>
      <w:instrText xml:space="preserve"> PAGE </w:instrText>
    </w:r>
    <w:r w:rsidR="00FE00AD">
      <w:rPr>
        <w:rStyle w:val="Nmerodepgina"/>
      </w:rPr>
      <w:fldChar w:fldCharType="separate"/>
    </w:r>
    <w:r w:rsidR="008E44C2">
      <w:rPr>
        <w:rStyle w:val="Nmerodepgina"/>
        <w:noProof/>
      </w:rPr>
      <w:t>1</w:t>
    </w:r>
    <w:r w:rsidR="00FE00AD">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60E" w:rsidRDefault="0065360E">
      <w:r>
        <w:separator/>
      </w:r>
    </w:p>
  </w:footnote>
  <w:footnote w:type="continuationSeparator" w:id="0">
    <w:p w:rsidR="0065360E" w:rsidRDefault="00653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Pr="00971E07" w:rsidRDefault="00FE00AD">
    <w:pPr>
      <w:pStyle w:val="Corpodetexto"/>
      <w:jc w:val="right"/>
      <w:rPr>
        <w:shadow/>
        <w:sz w:val="24"/>
        <w:szCs w:val="24"/>
      </w:rPr>
    </w:pPr>
    <w:r w:rsidRPr="00971E07">
      <w:rPr>
        <w:shadow/>
        <w:sz w:val="24"/>
        <w:szCs w:val="24"/>
      </w:rPr>
      <w:t xml:space="preserve">Informativo TST - </w:t>
    </w:r>
    <w:r w:rsidR="00986D77">
      <w:rPr>
        <w:shadow/>
        <w:sz w:val="24"/>
        <w:szCs w:val="24"/>
      </w:rPr>
      <w:t>n</w:t>
    </w:r>
    <w:r w:rsidRPr="00971E07">
      <w:rPr>
        <w:shadow/>
        <w:sz w:val="24"/>
        <w:szCs w:val="24"/>
      </w:rPr>
      <w:t xml:space="preserve">º </w:t>
    </w:r>
    <w:r w:rsidR="00102C7C">
      <w:rPr>
        <w:shadow/>
        <w:sz w:val="24"/>
        <w:szCs w:val="24"/>
      </w:rPr>
      <w:t>7</w:t>
    </w:r>
    <w:r w:rsidR="005B58EB">
      <w:rPr>
        <w:shadow/>
        <w:sz w:val="24"/>
        <w:szCs w:val="24"/>
      </w:rPr>
      <w:t>9</w:t>
    </w:r>
  </w:p>
  <w:p w:rsidR="00FE00AD" w:rsidRPr="00971E07" w:rsidRDefault="00187A37">
    <w:pPr>
      <w:pStyle w:val="Ttulo6"/>
      <w:spacing w:line="360" w:lineRule="auto"/>
      <w:jc w:val="right"/>
      <w:rPr>
        <w:i/>
        <w:iCs/>
        <w:sz w:val="20"/>
        <w:szCs w:val="20"/>
      </w:rPr>
    </w:pPr>
    <w:r>
      <w:rPr>
        <w:noProof/>
      </w:rPr>
      <w:pict>
        <v:line id="_x0000_s2049" style="position:absolute;left:0;text-align:left;flip:x;z-index:251657216" from=".9pt,10.15pt" to="497.7pt,10.15pt" o:allowincell="f" strokecolor="#969696"/>
      </w:pict>
    </w:r>
    <w:r w:rsidR="002168DE">
      <w:rPr>
        <w:sz w:val="20"/>
        <w:szCs w:val="20"/>
      </w:rPr>
      <w:t xml:space="preserve">Período: </w:t>
    </w:r>
    <w:r w:rsidR="005B58EB">
      <w:rPr>
        <w:sz w:val="20"/>
        <w:szCs w:val="20"/>
      </w:rPr>
      <w:t>8</w:t>
    </w:r>
    <w:r w:rsidR="008A1A09">
      <w:rPr>
        <w:sz w:val="20"/>
        <w:szCs w:val="20"/>
      </w:rPr>
      <w:t xml:space="preserve"> a </w:t>
    </w:r>
    <w:r w:rsidR="005B58EB">
      <w:rPr>
        <w:sz w:val="20"/>
        <w:szCs w:val="20"/>
      </w:rPr>
      <w:t>22</w:t>
    </w:r>
    <w:r w:rsidR="008A1A09">
      <w:rPr>
        <w:sz w:val="20"/>
        <w:szCs w:val="20"/>
      </w:rPr>
      <w:t xml:space="preserve"> de abril </w:t>
    </w:r>
    <w:r w:rsidR="00FE00AD" w:rsidRPr="00971E07">
      <w:rPr>
        <w:sz w:val="20"/>
        <w:szCs w:val="20"/>
      </w:rPr>
      <w:t>de 20</w:t>
    </w:r>
    <w:r w:rsidR="00E16E01" w:rsidRPr="00971E07">
      <w:rPr>
        <w:sz w:val="20"/>
        <w:szCs w:val="20"/>
      </w:rPr>
      <w:t>1</w:t>
    </w:r>
    <w:r w:rsidR="00102C7C">
      <w:rPr>
        <w:sz w:val="20"/>
        <w:szCs w:val="20"/>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075BDB">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65.7pt;margin-top:25pt;width:381.6pt;height:36pt;z-index:251656192" o:allowincell="f" fillcolor="black">
          <v:shadow color="#868686"/>
          <v:textpath style="font-family:&quot;Times New Roman&quot;;v-text-kern:t" trim="t" fitpath="t" string="INFORMATIVO TST"/>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77.25pt">
          <v:imagedata r:id="rId1" o:title="TST LOGO"/>
        </v:shape>
      </w:pict>
    </w:r>
  </w:p>
  <w:p w:rsidR="00FE00AD" w:rsidRDefault="00A51749" w:rsidP="00592445">
    <w:pPr>
      <w:pStyle w:val="Cabealho"/>
      <w:tabs>
        <w:tab w:val="clear" w:pos="4419"/>
        <w:tab w:val="clear" w:pos="8838"/>
        <w:tab w:val="left" w:pos="2793"/>
      </w:tabs>
      <w:jc w:val="right"/>
      <w:rPr>
        <w:b/>
        <w:sz w:val="40"/>
        <w:szCs w:val="40"/>
      </w:rPr>
    </w:pPr>
    <w:r>
      <w:tab/>
    </w:r>
    <w:r w:rsidR="00075BDB">
      <w:tab/>
    </w:r>
    <w:r w:rsidR="00075BDB">
      <w:tab/>
    </w:r>
    <w:r w:rsidR="00075BDB">
      <w:tab/>
    </w:r>
    <w:r w:rsidR="00075BDB">
      <w:tab/>
    </w:r>
    <w:r w:rsidR="00075BDB">
      <w:tab/>
    </w:r>
    <w:r w:rsidR="00FE00AD" w:rsidRPr="002168DE">
      <w:rPr>
        <w:b/>
        <w:sz w:val="40"/>
        <w:szCs w:val="40"/>
      </w:rPr>
      <w:t xml:space="preserve">Nº </w:t>
    </w:r>
    <w:r w:rsidR="00D61B6D">
      <w:rPr>
        <w:b/>
        <w:sz w:val="40"/>
        <w:szCs w:val="40"/>
      </w:rPr>
      <w:t>80</w:t>
    </w:r>
  </w:p>
  <w:p w:rsidR="00592445" w:rsidRPr="005D1DE4" w:rsidRDefault="00592445" w:rsidP="00592445">
    <w:pPr>
      <w:pStyle w:val="Cabealho"/>
      <w:tabs>
        <w:tab w:val="clear" w:pos="4419"/>
        <w:tab w:val="clear" w:pos="8838"/>
        <w:tab w:val="left" w:pos="2793"/>
      </w:tabs>
      <w:jc w:val="right"/>
      <w:rPr>
        <w:i/>
        <w:iCs/>
        <w:sz w:val="10"/>
        <w:szCs w:val="10"/>
      </w:rPr>
    </w:pPr>
  </w:p>
  <w:p w:rsidR="00FE00AD" w:rsidRPr="005D1DE4" w:rsidRDefault="00912CF7">
    <w:pPr>
      <w:pStyle w:val="Cabealho"/>
      <w:jc w:val="right"/>
    </w:pPr>
    <w:r>
      <w:rPr>
        <w:i/>
        <w:iCs/>
      </w:rPr>
      <w:t xml:space="preserve">Período: </w:t>
    </w:r>
    <w:r w:rsidR="00D61B6D">
      <w:rPr>
        <w:i/>
        <w:iCs/>
      </w:rPr>
      <w:t>23</w:t>
    </w:r>
    <w:r w:rsidR="00970F42">
      <w:rPr>
        <w:i/>
        <w:iCs/>
      </w:rPr>
      <w:t xml:space="preserve"> </w:t>
    </w:r>
    <w:r w:rsidR="00ED36FF">
      <w:rPr>
        <w:i/>
        <w:iCs/>
      </w:rPr>
      <w:t>a</w:t>
    </w:r>
    <w:r w:rsidR="008A1A09">
      <w:rPr>
        <w:i/>
        <w:iCs/>
      </w:rPr>
      <w:t xml:space="preserve"> </w:t>
    </w:r>
    <w:r w:rsidR="00D61B6D">
      <w:rPr>
        <w:i/>
        <w:iCs/>
      </w:rPr>
      <w:t>29</w:t>
    </w:r>
    <w:r w:rsidR="00ED36FF">
      <w:rPr>
        <w:i/>
        <w:iCs/>
      </w:rPr>
      <w:t xml:space="preserve"> de </w:t>
    </w:r>
    <w:r w:rsidR="008A1A09">
      <w:rPr>
        <w:i/>
        <w:iCs/>
      </w:rPr>
      <w:t>abril</w:t>
    </w:r>
    <w:r w:rsidR="00102C7C">
      <w:rPr>
        <w:i/>
        <w:iCs/>
      </w:rPr>
      <w:t xml:space="preserve"> </w:t>
    </w:r>
    <w:r w:rsidR="00FE00AD" w:rsidRPr="005D1DE4">
      <w:rPr>
        <w:i/>
        <w:iCs/>
      </w:rPr>
      <w:t>de 201</w:t>
    </w:r>
    <w:r w:rsidR="00102C7C">
      <w:rPr>
        <w:i/>
        <w:iCs/>
      </w:rPr>
      <w:t>4</w:t>
    </w:r>
  </w:p>
  <w:p w:rsidR="00FE00AD" w:rsidRDefault="00FE00AD" w:rsidP="00631F1C">
    <w:pPr>
      <w:pStyle w:val="Cabealho"/>
      <w:pBdr>
        <w:bottom w:val="single" w:sz="4" w:space="1" w:color="auto"/>
      </w:pBd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6FE"/>
    <w:rsid w:val="00004C36"/>
    <w:rsid w:val="000228E6"/>
    <w:rsid w:val="00032056"/>
    <w:rsid w:val="000322FB"/>
    <w:rsid w:val="000425FC"/>
    <w:rsid w:val="000468D0"/>
    <w:rsid w:val="00050E85"/>
    <w:rsid w:val="00056752"/>
    <w:rsid w:val="00057B87"/>
    <w:rsid w:val="0006020E"/>
    <w:rsid w:val="000733B4"/>
    <w:rsid w:val="00073880"/>
    <w:rsid w:val="00075BDB"/>
    <w:rsid w:val="00080F10"/>
    <w:rsid w:val="0009237D"/>
    <w:rsid w:val="00093AE9"/>
    <w:rsid w:val="00093BA8"/>
    <w:rsid w:val="000A04E6"/>
    <w:rsid w:val="000B4D41"/>
    <w:rsid w:val="000B67DF"/>
    <w:rsid w:val="000B7CDE"/>
    <w:rsid w:val="000C3022"/>
    <w:rsid w:val="000C672B"/>
    <w:rsid w:val="000E0A91"/>
    <w:rsid w:val="000E2685"/>
    <w:rsid w:val="00102302"/>
    <w:rsid w:val="00102C7C"/>
    <w:rsid w:val="0011575C"/>
    <w:rsid w:val="0011692E"/>
    <w:rsid w:val="00137564"/>
    <w:rsid w:val="00137DC1"/>
    <w:rsid w:val="0015612D"/>
    <w:rsid w:val="00176D15"/>
    <w:rsid w:val="00184590"/>
    <w:rsid w:val="00187A37"/>
    <w:rsid w:val="0019151D"/>
    <w:rsid w:val="00193208"/>
    <w:rsid w:val="001C04D2"/>
    <w:rsid w:val="001C271F"/>
    <w:rsid w:val="001C6C93"/>
    <w:rsid w:val="001D4CF9"/>
    <w:rsid w:val="001D5AB0"/>
    <w:rsid w:val="001D757D"/>
    <w:rsid w:val="001E14BB"/>
    <w:rsid w:val="001E4B57"/>
    <w:rsid w:val="001E5BD1"/>
    <w:rsid w:val="001E713B"/>
    <w:rsid w:val="001F030F"/>
    <w:rsid w:val="00206810"/>
    <w:rsid w:val="002168DE"/>
    <w:rsid w:val="00221C66"/>
    <w:rsid w:val="00224AC2"/>
    <w:rsid w:val="0023559D"/>
    <w:rsid w:val="002402B0"/>
    <w:rsid w:val="002449F9"/>
    <w:rsid w:val="002635ED"/>
    <w:rsid w:val="00265D70"/>
    <w:rsid w:val="002662BA"/>
    <w:rsid w:val="00266D49"/>
    <w:rsid w:val="00271C5C"/>
    <w:rsid w:val="00271E67"/>
    <w:rsid w:val="002730B5"/>
    <w:rsid w:val="00280594"/>
    <w:rsid w:val="00285064"/>
    <w:rsid w:val="002A219D"/>
    <w:rsid w:val="002A546D"/>
    <w:rsid w:val="002B4738"/>
    <w:rsid w:val="002B6377"/>
    <w:rsid w:val="002C2904"/>
    <w:rsid w:val="002E57F8"/>
    <w:rsid w:val="002E78CB"/>
    <w:rsid w:val="0033397A"/>
    <w:rsid w:val="00352B27"/>
    <w:rsid w:val="0036325E"/>
    <w:rsid w:val="003671FE"/>
    <w:rsid w:val="003708FD"/>
    <w:rsid w:val="0037667D"/>
    <w:rsid w:val="00384075"/>
    <w:rsid w:val="003908C5"/>
    <w:rsid w:val="00396053"/>
    <w:rsid w:val="003A4086"/>
    <w:rsid w:val="003A5E5B"/>
    <w:rsid w:val="003B045C"/>
    <w:rsid w:val="003B0A59"/>
    <w:rsid w:val="003B3EB5"/>
    <w:rsid w:val="003B4E23"/>
    <w:rsid w:val="003B767E"/>
    <w:rsid w:val="003C6FE7"/>
    <w:rsid w:val="003D032E"/>
    <w:rsid w:val="003D4205"/>
    <w:rsid w:val="003D463A"/>
    <w:rsid w:val="003F2078"/>
    <w:rsid w:val="0042772A"/>
    <w:rsid w:val="004323B0"/>
    <w:rsid w:val="00432443"/>
    <w:rsid w:val="00444E88"/>
    <w:rsid w:val="0045657C"/>
    <w:rsid w:val="004655CC"/>
    <w:rsid w:val="00466DB9"/>
    <w:rsid w:val="00486521"/>
    <w:rsid w:val="00486DFC"/>
    <w:rsid w:val="004922D6"/>
    <w:rsid w:val="004A14FC"/>
    <w:rsid w:val="004A5264"/>
    <w:rsid w:val="004B21AD"/>
    <w:rsid w:val="004C011C"/>
    <w:rsid w:val="004C14EA"/>
    <w:rsid w:val="004C2118"/>
    <w:rsid w:val="004C2612"/>
    <w:rsid w:val="004D3A48"/>
    <w:rsid w:val="004D6000"/>
    <w:rsid w:val="004D6415"/>
    <w:rsid w:val="004D71E8"/>
    <w:rsid w:val="004E393E"/>
    <w:rsid w:val="004E4507"/>
    <w:rsid w:val="004E4619"/>
    <w:rsid w:val="004F0A7D"/>
    <w:rsid w:val="0051538E"/>
    <w:rsid w:val="00517E01"/>
    <w:rsid w:val="00521EEC"/>
    <w:rsid w:val="005460BD"/>
    <w:rsid w:val="00553197"/>
    <w:rsid w:val="0055409E"/>
    <w:rsid w:val="00556367"/>
    <w:rsid w:val="00556B35"/>
    <w:rsid w:val="00573E13"/>
    <w:rsid w:val="00584F82"/>
    <w:rsid w:val="00591DFA"/>
    <w:rsid w:val="00592445"/>
    <w:rsid w:val="005A5695"/>
    <w:rsid w:val="005B2F00"/>
    <w:rsid w:val="005B57DE"/>
    <w:rsid w:val="005B58EB"/>
    <w:rsid w:val="005B74C2"/>
    <w:rsid w:val="005C1886"/>
    <w:rsid w:val="005C761E"/>
    <w:rsid w:val="005D0E5F"/>
    <w:rsid w:val="005D1DE4"/>
    <w:rsid w:val="005E35BD"/>
    <w:rsid w:val="005E3D4D"/>
    <w:rsid w:val="005E7FD1"/>
    <w:rsid w:val="005F2858"/>
    <w:rsid w:val="006002E3"/>
    <w:rsid w:val="006145AC"/>
    <w:rsid w:val="0061548C"/>
    <w:rsid w:val="00615F98"/>
    <w:rsid w:val="00621F9C"/>
    <w:rsid w:val="00631166"/>
    <w:rsid w:val="00631F1C"/>
    <w:rsid w:val="006366A4"/>
    <w:rsid w:val="006456B1"/>
    <w:rsid w:val="00653027"/>
    <w:rsid w:val="0065360E"/>
    <w:rsid w:val="006564EC"/>
    <w:rsid w:val="0066084C"/>
    <w:rsid w:val="00672CF9"/>
    <w:rsid w:val="00672E11"/>
    <w:rsid w:val="0068273B"/>
    <w:rsid w:val="00691234"/>
    <w:rsid w:val="006931CC"/>
    <w:rsid w:val="006947F2"/>
    <w:rsid w:val="00697919"/>
    <w:rsid w:val="006B3FCF"/>
    <w:rsid w:val="006B46CA"/>
    <w:rsid w:val="006C0391"/>
    <w:rsid w:val="006C28B3"/>
    <w:rsid w:val="006D1F66"/>
    <w:rsid w:val="006D306E"/>
    <w:rsid w:val="006D4497"/>
    <w:rsid w:val="006F6C15"/>
    <w:rsid w:val="0070727E"/>
    <w:rsid w:val="00710D3A"/>
    <w:rsid w:val="0071315F"/>
    <w:rsid w:val="00713EBF"/>
    <w:rsid w:val="00721942"/>
    <w:rsid w:val="00722BE7"/>
    <w:rsid w:val="00732DF2"/>
    <w:rsid w:val="007614F1"/>
    <w:rsid w:val="007618C5"/>
    <w:rsid w:val="00764066"/>
    <w:rsid w:val="00776118"/>
    <w:rsid w:val="007A609B"/>
    <w:rsid w:val="007B04F9"/>
    <w:rsid w:val="007B0F83"/>
    <w:rsid w:val="007B30D2"/>
    <w:rsid w:val="007C275A"/>
    <w:rsid w:val="007C7272"/>
    <w:rsid w:val="007D29A1"/>
    <w:rsid w:val="007E0EA7"/>
    <w:rsid w:val="007E3F23"/>
    <w:rsid w:val="007F142E"/>
    <w:rsid w:val="007F653F"/>
    <w:rsid w:val="007F7B5E"/>
    <w:rsid w:val="00802B1A"/>
    <w:rsid w:val="0080615C"/>
    <w:rsid w:val="0081027F"/>
    <w:rsid w:val="0081742D"/>
    <w:rsid w:val="00821F4D"/>
    <w:rsid w:val="00823906"/>
    <w:rsid w:val="008409D3"/>
    <w:rsid w:val="00845559"/>
    <w:rsid w:val="00854DB8"/>
    <w:rsid w:val="00854EF2"/>
    <w:rsid w:val="00863B86"/>
    <w:rsid w:val="008656D5"/>
    <w:rsid w:val="00871F69"/>
    <w:rsid w:val="00882A98"/>
    <w:rsid w:val="008842D0"/>
    <w:rsid w:val="00884AC4"/>
    <w:rsid w:val="0088579D"/>
    <w:rsid w:val="008A1A09"/>
    <w:rsid w:val="008A7953"/>
    <w:rsid w:val="008B3081"/>
    <w:rsid w:val="008B32D4"/>
    <w:rsid w:val="008D0020"/>
    <w:rsid w:val="008D3C38"/>
    <w:rsid w:val="008D6A05"/>
    <w:rsid w:val="008E2AE5"/>
    <w:rsid w:val="008E3F89"/>
    <w:rsid w:val="008E44C2"/>
    <w:rsid w:val="008F26CB"/>
    <w:rsid w:val="008F6509"/>
    <w:rsid w:val="008F79D9"/>
    <w:rsid w:val="009027C8"/>
    <w:rsid w:val="00912CF7"/>
    <w:rsid w:val="0093467A"/>
    <w:rsid w:val="0094155C"/>
    <w:rsid w:val="00951531"/>
    <w:rsid w:val="00960A3B"/>
    <w:rsid w:val="00967DE0"/>
    <w:rsid w:val="00970F42"/>
    <w:rsid w:val="00971E07"/>
    <w:rsid w:val="00974317"/>
    <w:rsid w:val="00980944"/>
    <w:rsid w:val="009857BB"/>
    <w:rsid w:val="00985818"/>
    <w:rsid w:val="00986D77"/>
    <w:rsid w:val="009943EC"/>
    <w:rsid w:val="009A32D5"/>
    <w:rsid w:val="009B6012"/>
    <w:rsid w:val="009C102D"/>
    <w:rsid w:val="009C2A4F"/>
    <w:rsid w:val="009D2B61"/>
    <w:rsid w:val="009D4C59"/>
    <w:rsid w:val="009D7F91"/>
    <w:rsid w:val="009E20EF"/>
    <w:rsid w:val="009E26EE"/>
    <w:rsid w:val="009F21A2"/>
    <w:rsid w:val="00A32FBF"/>
    <w:rsid w:val="00A407EA"/>
    <w:rsid w:val="00A51749"/>
    <w:rsid w:val="00A521B6"/>
    <w:rsid w:val="00A56962"/>
    <w:rsid w:val="00A6412C"/>
    <w:rsid w:val="00A64325"/>
    <w:rsid w:val="00A65CB9"/>
    <w:rsid w:val="00A75419"/>
    <w:rsid w:val="00A76661"/>
    <w:rsid w:val="00A76D2A"/>
    <w:rsid w:val="00A82081"/>
    <w:rsid w:val="00A8557E"/>
    <w:rsid w:val="00A91181"/>
    <w:rsid w:val="00A935AC"/>
    <w:rsid w:val="00AB299E"/>
    <w:rsid w:val="00AB507C"/>
    <w:rsid w:val="00AD6E76"/>
    <w:rsid w:val="00AE3EAA"/>
    <w:rsid w:val="00AE5EDF"/>
    <w:rsid w:val="00B14F7F"/>
    <w:rsid w:val="00B16EB9"/>
    <w:rsid w:val="00B22F24"/>
    <w:rsid w:val="00B22F53"/>
    <w:rsid w:val="00B23380"/>
    <w:rsid w:val="00B24DBE"/>
    <w:rsid w:val="00B34EB2"/>
    <w:rsid w:val="00B517C3"/>
    <w:rsid w:val="00B518B2"/>
    <w:rsid w:val="00B526EA"/>
    <w:rsid w:val="00B536FE"/>
    <w:rsid w:val="00B73FFA"/>
    <w:rsid w:val="00B874F1"/>
    <w:rsid w:val="00BB3A18"/>
    <w:rsid w:val="00BC1DE7"/>
    <w:rsid w:val="00BC5AEE"/>
    <w:rsid w:val="00BD6029"/>
    <w:rsid w:val="00BE0541"/>
    <w:rsid w:val="00BE1ADB"/>
    <w:rsid w:val="00C070DE"/>
    <w:rsid w:val="00C26DFB"/>
    <w:rsid w:val="00C273FA"/>
    <w:rsid w:val="00C30D06"/>
    <w:rsid w:val="00C42067"/>
    <w:rsid w:val="00C432D0"/>
    <w:rsid w:val="00C4398E"/>
    <w:rsid w:val="00C60B4A"/>
    <w:rsid w:val="00C65BDB"/>
    <w:rsid w:val="00C71A3B"/>
    <w:rsid w:val="00C76CFA"/>
    <w:rsid w:val="00C963F8"/>
    <w:rsid w:val="00C96BB1"/>
    <w:rsid w:val="00CA2F80"/>
    <w:rsid w:val="00CA3C3D"/>
    <w:rsid w:val="00CB0C2A"/>
    <w:rsid w:val="00CB23A5"/>
    <w:rsid w:val="00CC4B2B"/>
    <w:rsid w:val="00CC579C"/>
    <w:rsid w:val="00CC5F5F"/>
    <w:rsid w:val="00CD3460"/>
    <w:rsid w:val="00CD4B61"/>
    <w:rsid w:val="00CD5043"/>
    <w:rsid w:val="00CE2928"/>
    <w:rsid w:val="00CE314A"/>
    <w:rsid w:val="00D01C50"/>
    <w:rsid w:val="00D11B24"/>
    <w:rsid w:val="00D133C8"/>
    <w:rsid w:val="00D14DB8"/>
    <w:rsid w:val="00D244D5"/>
    <w:rsid w:val="00D2776A"/>
    <w:rsid w:val="00D3586A"/>
    <w:rsid w:val="00D413DB"/>
    <w:rsid w:val="00D420E2"/>
    <w:rsid w:val="00D4459D"/>
    <w:rsid w:val="00D573F9"/>
    <w:rsid w:val="00D6058B"/>
    <w:rsid w:val="00D61B6D"/>
    <w:rsid w:val="00D63EC5"/>
    <w:rsid w:val="00D72C05"/>
    <w:rsid w:val="00D847CF"/>
    <w:rsid w:val="00DA0A99"/>
    <w:rsid w:val="00DA6DB3"/>
    <w:rsid w:val="00DA7603"/>
    <w:rsid w:val="00DA7E39"/>
    <w:rsid w:val="00DA7EDE"/>
    <w:rsid w:val="00DC0AB5"/>
    <w:rsid w:val="00DC50EB"/>
    <w:rsid w:val="00DD3FA0"/>
    <w:rsid w:val="00DE1E75"/>
    <w:rsid w:val="00DE5B2D"/>
    <w:rsid w:val="00DE5CE9"/>
    <w:rsid w:val="00E03064"/>
    <w:rsid w:val="00E04BD5"/>
    <w:rsid w:val="00E05A28"/>
    <w:rsid w:val="00E070D2"/>
    <w:rsid w:val="00E1539C"/>
    <w:rsid w:val="00E162B6"/>
    <w:rsid w:val="00E16E01"/>
    <w:rsid w:val="00E231D0"/>
    <w:rsid w:val="00E24A50"/>
    <w:rsid w:val="00E27F74"/>
    <w:rsid w:val="00E35639"/>
    <w:rsid w:val="00E432CC"/>
    <w:rsid w:val="00E50711"/>
    <w:rsid w:val="00E60EDA"/>
    <w:rsid w:val="00E62BBC"/>
    <w:rsid w:val="00E715CD"/>
    <w:rsid w:val="00E9503C"/>
    <w:rsid w:val="00E956D9"/>
    <w:rsid w:val="00EA1958"/>
    <w:rsid w:val="00EA29F5"/>
    <w:rsid w:val="00EA482D"/>
    <w:rsid w:val="00EB5FE6"/>
    <w:rsid w:val="00EB61A5"/>
    <w:rsid w:val="00EB7A09"/>
    <w:rsid w:val="00EC5AF4"/>
    <w:rsid w:val="00ED36FF"/>
    <w:rsid w:val="00ED661C"/>
    <w:rsid w:val="00EE41B5"/>
    <w:rsid w:val="00EE66C9"/>
    <w:rsid w:val="00EF11A9"/>
    <w:rsid w:val="00EF38E1"/>
    <w:rsid w:val="00EF749A"/>
    <w:rsid w:val="00EF771E"/>
    <w:rsid w:val="00F02565"/>
    <w:rsid w:val="00F05542"/>
    <w:rsid w:val="00F17A2C"/>
    <w:rsid w:val="00F26708"/>
    <w:rsid w:val="00F511EE"/>
    <w:rsid w:val="00F558E7"/>
    <w:rsid w:val="00F62016"/>
    <w:rsid w:val="00F63F44"/>
    <w:rsid w:val="00F6746D"/>
    <w:rsid w:val="00F80F6A"/>
    <w:rsid w:val="00F811CD"/>
    <w:rsid w:val="00F82D8F"/>
    <w:rsid w:val="00F83F62"/>
    <w:rsid w:val="00F9711D"/>
    <w:rsid w:val="00FA75E0"/>
    <w:rsid w:val="00FB20B1"/>
    <w:rsid w:val="00FB3AB4"/>
    <w:rsid w:val="00FC56A4"/>
    <w:rsid w:val="00FD3D06"/>
    <w:rsid w:val="00FD5662"/>
    <w:rsid w:val="00FD72B6"/>
    <w:rsid w:val="00FE00AD"/>
    <w:rsid w:val="00FE2CB6"/>
    <w:rsid w:val="00FE499F"/>
    <w:rsid w:val="00FF6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99"/>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uiPriority w:val="99"/>
    <w:pPr>
      <w:jc w:val="both"/>
    </w:pPr>
    <w:rPr>
      <w:rFonts w:ascii="Courier New" w:hAnsi="Courier New" w:cs="Courier New"/>
      <w:color w:val="000000"/>
      <w:sz w:val="24"/>
      <w:szCs w:val="24"/>
      <w:lang w:val="en-US"/>
    </w:rPr>
  </w:style>
  <w:style w:type="paragraph" w:customStyle="1" w:styleId="Corpo">
    <w:name w:val="Corp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uiPriority w:val="99"/>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ind w:left="737" w:hanging="907"/>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99"/>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CorpoChar1">
    <w:name w:val="Corpo Char1"/>
    <w:uiPriority w:val="99"/>
    <w:locked/>
    <w:rsid w:val="007C7272"/>
    <w:rPr>
      <w:rFonts w:ascii="Courier New" w:eastAsia="Times New Roman" w:hAnsi="Courier New" w:cs="Times New Roman"/>
      <w:color w:val="00000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aplicacao5.tst.jus.br/consultaProcessual/consultaTstNumUnica.do?consulta=Consultar&amp;conscsjt=&amp;numeroTst=96&amp;digitoTst=81&amp;anoTst=2012&amp;orgaoTst=5&amp;tribunalTst=18&amp;varaTst=019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licacao5.tst.jus.br/consultaProcessual/consultaTstNumUnica.do?consulta=Consultar&amp;conscsjt=&amp;numeroTst=2418&amp;digitoTst=83&amp;anoTst=2011&amp;orgaoTst=5&amp;tribunalTst=15&amp;varaTst=0000"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28244-B434-4C45-9C0F-670BCC51A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2452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2900</CharactersWithSpaces>
  <SharedDoc>false</SharedDoc>
  <HLinks>
    <vt:vector size="12" baseType="variant">
      <vt:variant>
        <vt:i4>7274620</vt:i4>
      </vt:variant>
      <vt:variant>
        <vt:i4>3</vt:i4>
      </vt:variant>
      <vt:variant>
        <vt:i4>0</vt:i4>
      </vt:variant>
      <vt:variant>
        <vt:i4>5</vt:i4>
      </vt:variant>
      <vt:variant>
        <vt:lpwstr>https://aplicacao5.tst.jus.br/consultaProcessual/consultaTstNumUnica.do?consulta=Consultar&amp;conscsjt=&amp;numeroTst=2418&amp;digitoTst=83&amp;anoTst=2011&amp;orgaoTst=5&amp;tribunalTst=15&amp;varaTst=0000</vt:lpwstr>
      </vt:variant>
      <vt:variant>
        <vt:lpwstr/>
      </vt:variant>
      <vt:variant>
        <vt:i4>5242951</vt:i4>
      </vt:variant>
      <vt:variant>
        <vt:i4>0</vt:i4>
      </vt:variant>
      <vt:variant>
        <vt:i4>0</vt:i4>
      </vt:variant>
      <vt:variant>
        <vt:i4>5</vt:i4>
      </vt:variant>
      <vt:variant>
        <vt:lpwstr>https://aplicacao5.tst.jus.br/consultaProcessual/consultaTstNumUnica.do?consulta=Consultar&amp;conscsjt=&amp;numeroTst=96&amp;digitoTst=81&amp;anoTst=2012&amp;orgaoTst=5&amp;tribunalTst=18&amp;varaTst=0191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subject/>
  <dc:creator>C037163</dc:creator>
  <cp:keywords/>
  <cp:lastModifiedBy>c041658</cp:lastModifiedBy>
  <cp:revision>2</cp:revision>
  <cp:lastPrinted>2014-04-01T19:08:00Z</cp:lastPrinted>
  <dcterms:created xsi:type="dcterms:W3CDTF">2018-06-27T21:47:00Z</dcterms:created>
  <dcterms:modified xsi:type="dcterms:W3CDTF">2018-06-27T21:47:00Z</dcterms:modified>
</cp:coreProperties>
</file>