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9" w:rsidRDefault="00A51749">
      <w:bookmarkStart w:id="0" w:name="_GoBack"/>
      <w:bookmarkEnd w:id="0"/>
    </w:p>
    <w:tbl>
      <w:tblPr>
        <w:tblW w:w="9709" w:type="dxa"/>
        <w:tblInd w:w="70" w:type="dxa"/>
        <w:tblLayout w:type="fixed"/>
        <w:tblCellMar>
          <w:left w:w="70" w:type="dxa"/>
          <w:right w:w="70" w:type="dxa"/>
        </w:tblCellMar>
        <w:tblLook w:val="0000" w:firstRow="0" w:lastRow="0" w:firstColumn="0" w:lastColumn="0" w:noHBand="0" w:noVBand="0"/>
      </w:tblPr>
      <w:tblGrid>
        <w:gridCol w:w="9709"/>
      </w:tblGrid>
      <w:tr w:rsidR="00C26DFB" w:rsidRPr="00187A37" w:rsidTr="005C68A8">
        <w:tblPrEx>
          <w:tblCellMar>
            <w:top w:w="0" w:type="dxa"/>
            <w:bottom w:w="0" w:type="dxa"/>
          </w:tblCellMar>
        </w:tblPrEx>
        <w:trPr>
          <w:trHeight w:val="621"/>
        </w:trPr>
        <w:tc>
          <w:tcPr>
            <w:tcW w:w="9709" w:type="dxa"/>
          </w:tcPr>
          <w:p w:rsidR="00E73397" w:rsidRPr="00187A37" w:rsidRDefault="00C26DFB" w:rsidP="000419B4">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5C68A8" w:rsidRPr="005C68A8" w:rsidRDefault="005C68A8" w:rsidP="005C68A8">
      <w:pPr>
        <w:pStyle w:val="Corpo"/>
        <w:spacing w:line="240" w:lineRule="auto"/>
        <w:ind w:firstLine="0"/>
        <w:rPr>
          <w:rFonts w:ascii="Times New Roman" w:hAnsi="Times New Roman" w:cs="Times New Roman"/>
          <w:b/>
          <w:bCs/>
          <w:shadow/>
          <w:color w:val="auto"/>
          <w:sz w:val="10"/>
          <w:szCs w:val="10"/>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C71A3B" w:rsidRPr="005D1DE4" w:rsidRDefault="00C71A3B" w:rsidP="00F82D8F">
      <w:pPr>
        <w:pStyle w:val="Corpo"/>
        <w:spacing w:line="240" w:lineRule="auto"/>
        <w:ind w:firstLine="0"/>
        <w:rPr>
          <w:rFonts w:ascii="Times New Roman" w:hAnsi="Times New Roman" w:cs="Times New Roman"/>
          <w:b/>
          <w:bCs/>
          <w:i/>
          <w:iCs/>
          <w:sz w:val="10"/>
          <w:szCs w:val="10"/>
          <w:lang w:val="pt-BR"/>
        </w:rPr>
      </w:pPr>
    </w:p>
    <w:p w:rsidR="00A21D22" w:rsidRPr="004C26D9" w:rsidRDefault="00A21D22" w:rsidP="000419B4">
      <w:pPr>
        <w:jc w:val="both"/>
        <w:rPr>
          <w:b/>
          <w:i/>
          <w:sz w:val="24"/>
          <w:szCs w:val="24"/>
        </w:rPr>
      </w:pPr>
      <w:r w:rsidRPr="004C26D9">
        <w:rPr>
          <w:b/>
          <w:i/>
          <w:sz w:val="24"/>
          <w:szCs w:val="24"/>
        </w:rPr>
        <w:t xml:space="preserve">Ação anulatória. Acordo coletivo de trabalho. Horas </w:t>
      </w:r>
      <w:r w:rsidRPr="004C26D9">
        <w:rPr>
          <w:i/>
          <w:sz w:val="24"/>
          <w:szCs w:val="24"/>
        </w:rPr>
        <w:t>in itinere</w:t>
      </w:r>
      <w:r w:rsidRPr="004C26D9">
        <w:rPr>
          <w:b/>
          <w:i/>
          <w:sz w:val="24"/>
          <w:szCs w:val="24"/>
        </w:rPr>
        <w:t>. Cláusula que estabelece quitação geral e indiscriminada</w:t>
      </w:r>
      <w:r>
        <w:rPr>
          <w:b/>
          <w:i/>
          <w:sz w:val="24"/>
          <w:szCs w:val="24"/>
        </w:rPr>
        <w:t>. Período anterior à vigência. Impossibilidade.</w:t>
      </w:r>
      <w:r w:rsidRPr="004C26D9">
        <w:rPr>
          <w:b/>
          <w:i/>
          <w:sz w:val="24"/>
          <w:szCs w:val="24"/>
        </w:rPr>
        <w:t xml:space="preserve"> </w:t>
      </w:r>
    </w:p>
    <w:p w:rsidR="00A21D22" w:rsidRDefault="00A21D22" w:rsidP="000419B4">
      <w:pPr>
        <w:jc w:val="both"/>
        <w:rPr>
          <w:b/>
          <w:i/>
          <w:sz w:val="32"/>
          <w:szCs w:val="32"/>
        </w:rPr>
      </w:pPr>
      <w:r>
        <w:rPr>
          <w:sz w:val="24"/>
          <w:szCs w:val="24"/>
        </w:rPr>
        <w:t xml:space="preserve">A SDC, por unanimidade, deu provimento a recurso ordinário em ação anulatória para declarar a nulidade de cláusula de acordo coletivo de trabalho que previa a quitação geral e indiscriminada de horas </w:t>
      </w:r>
      <w:r w:rsidRPr="004C26D9">
        <w:rPr>
          <w:b/>
          <w:sz w:val="24"/>
          <w:szCs w:val="24"/>
        </w:rPr>
        <w:t>in itinere</w:t>
      </w:r>
      <w:r>
        <w:rPr>
          <w:sz w:val="24"/>
          <w:szCs w:val="24"/>
        </w:rPr>
        <w:t xml:space="preserve"> relativas a todo o período anterior à vigência da norma. Esclareceu o Ministro relator que, no caso, não houve estabelecimento de qualquer contrapartida aos trabalhadores, o que equivale à renúncia aos salários correspondentes ao tempo à disposição do empregador, em contraste com os arts. 9º, 58, § 2º, e 444 da CLT. Ademais, cláusulas que transacionam direitos referentes a lapso temporal anterior à sua vigência são ineficazes, ante o disposto no art. 614, §3º, da CLT e na Súmula nº 277 do TST, restando claro que a referida cláusula foi instituída com o intuito de liberar a empresa do pagamento de eventuais débitos a título de horas de percurso que possam vir a ser apurados em reclamações trabalhistas, inibindo, portanto, o acesso dos empregados ao Poder Judiciário. </w:t>
      </w:r>
      <w:hyperlink r:id="rId8" w:history="1">
        <w:r w:rsidRPr="000419B4">
          <w:rPr>
            <w:rStyle w:val="Hyperlink"/>
            <w:sz w:val="24"/>
            <w:szCs w:val="24"/>
          </w:rPr>
          <w:t>TST-RO-22700-15.2010.5.03.0000</w:t>
        </w:r>
      </w:hyperlink>
      <w:r w:rsidRPr="000419B4">
        <w:rPr>
          <w:sz w:val="24"/>
          <w:szCs w:val="24"/>
          <w:u w:val="single"/>
        </w:rPr>
        <w:t>, SDC, rel. Min. Fernando Eizo Ono, 15.5.2012</w:t>
      </w:r>
      <w:r w:rsidRPr="004C26D9">
        <w:rPr>
          <w:sz w:val="24"/>
          <w:szCs w:val="24"/>
          <w:u w:val="single"/>
        </w:rPr>
        <w:t>.</w:t>
      </w:r>
    </w:p>
    <w:p w:rsidR="00C71A3B" w:rsidRDefault="00C71A3B" w:rsidP="000419B4">
      <w:pPr>
        <w:pStyle w:val="Corpo"/>
        <w:spacing w:line="240" w:lineRule="auto"/>
        <w:ind w:right="-142" w:firstLine="0"/>
        <w:rPr>
          <w:rFonts w:ascii="Times New Roman" w:hAnsi="Times New Roman" w:cs="Times New Roman"/>
          <w:b/>
          <w:bCs/>
          <w:shadow/>
          <w:color w:val="auto"/>
          <w:sz w:val="10"/>
          <w:szCs w:val="10"/>
          <w:lang w:val="pt-BR"/>
        </w:rPr>
      </w:pPr>
    </w:p>
    <w:p w:rsidR="00E73397" w:rsidRPr="00650A04" w:rsidRDefault="00E73397" w:rsidP="000419B4">
      <w:pPr>
        <w:pStyle w:val="Ementa"/>
        <w:ind w:left="0"/>
        <w:rPr>
          <w:rFonts w:ascii="Times New Roman" w:eastAsia="Calibri" w:hAnsi="Times New Roman"/>
          <w:b/>
          <w:i/>
          <w:color w:val="auto"/>
          <w:lang w:val="pt-BR" w:eastAsia="en-US"/>
        </w:rPr>
      </w:pPr>
      <w:r w:rsidRPr="00650A04">
        <w:rPr>
          <w:rFonts w:ascii="Times New Roman" w:eastAsia="Calibri" w:hAnsi="Times New Roman"/>
          <w:b/>
          <w:i/>
          <w:color w:val="auto"/>
          <w:lang w:val="pt-BR" w:eastAsia="en-US"/>
        </w:rPr>
        <w:t>DC. Greve. Conflito de âmbito local.  Competência funcional. Tribunal Regional do Trabalho.</w:t>
      </w:r>
    </w:p>
    <w:p w:rsidR="00E73397" w:rsidRDefault="00E73397" w:rsidP="000419B4">
      <w:pPr>
        <w:pStyle w:val="Ementa"/>
        <w:ind w:left="0"/>
        <w:rPr>
          <w:rFonts w:ascii="Times New Roman" w:eastAsia="Calibri" w:hAnsi="Times New Roman"/>
          <w:color w:val="auto"/>
          <w:u w:val="single"/>
          <w:lang w:val="pt-BR" w:eastAsia="en-US"/>
        </w:rPr>
      </w:pPr>
      <w:r w:rsidRPr="00650A04">
        <w:rPr>
          <w:rFonts w:ascii="Times New Roman" w:eastAsia="Calibri" w:hAnsi="Times New Roman"/>
          <w:color w:val="auto"/>
          <w:lang w:val="pt-BR" w:eastAsia="en-US"/>
        </w:rPr>
        <w:t>Dispõe o art. 677 da CLT que a competência dos Tribunais Regionais do Trabalho</w:t>
      </w:r>
      <w:r>
        <w:rPr>
          <w:rFonts w:ascii="Times New Roman" w:eastAsia="Calibri" w:hAnsi="Times New Roman"/>
          <w:color w:val="auto"/>
          <w:lang w:val="pt-BR" w:eastAsia="en-US"/>
        </w:rPr>
        <w:t>, no caso de dissídio coletivo,</w:t>
      </w:r>
      <w:r w:rsidRPr="00650A04">
        <w:rPr>
          <w:rFonts w:ascii="Times New Roman" w:eastAsia="Calibri" w:hAnsi="Times New Roman"/>
          <w:color w:val="auto"/>
          <w:lang w:val="pt-BR" w:eastAsia="en-US"/>
        </w:rPr>
        <w:t xml:space="preserve"> é determinada pelo local onde </w:t>
      </w:r>
      <w:r>
        <w:rPr>
          <w:rFonts w:ascii="Times New Roman" w:eastAsia="Calibri" w:hAnsi="Times New Roman"/>
          <w:color w:val="auto"/>
          <w:lang w:val="pt-BR" w:eastAsia="en-US"/>
        </w:rPr>
        <w:t>este</w:t>
      </w:r>
      <w:r w:rsidRPr="00650A04">
        <w:rPr>
          <w:rFonts w:ascii="Times New Roman" w:eastAsia="Calibri" w:hAnsi="Times New Roman"/>
          <w:color w:val="auto"/>
          <w:lang w:val="pt-BR" w:eastAsia="en-US"/>
        </w:rPr>
        <w:t xml:space="preserve"> ocorrer, ficando a competência funcional originária da seção especializada em dissídios coletivos do TST limitada às hipóteses em que o dissídio coletivo, de natureza econômica ou de greve, for de âmbito suprarregional ou nacional, extrapolando, portanto, a jurisdição dos TRTs (art. 2º, “a”, da Lei nº 7.701/88). Com esse</w:t>
      </w:r>
      <w:r>
        <w:rPr>
          <w:rFonts w:ascii="Times New Roman" w:eastAsia="Calibri" w:hAnsi="Times New Roman"/>
          <w:color w:val="auto"/>
          <w:lang w:val="pt-BR" w:eastAsia="en-US"/>
        </w:rPr>
        <w:t xml:space="preserve"> fundamento</w:t>
      </w:r>
      <w:r w:rsidRPr="00650A04">
        <w:rPr>
          <w:rFonts w:ascii="Times New Roman" w:eastAsia="Calibri" w:hAnsi="Times New Roman"/>
          <w:color w:val="auto"/>
          <w:lang w:val="pt-BR" w:eastAsia="en-US"/>
        </w:rPr>
        <w:t>, e tendo em conta que, de acordo com a jurisprudência predominante no STF, é incabível o conflito de competência entre tribunais hierarquicamente organizados, a S</w:t>
      </w:r>
      <w:r>
        <w:rPr>
          <w:rFonts w:ascii="Times New Roman" w:eastAsia="Calibri" w:hAnsi="Times New Roman"/>
          <w:color w:val="auto"/>
          <w:lang w:val="pt-BR" w:eastAsia="en-US"/>
        </w:rPr>
        <w:t>DC, por unanimidade, conheceu do</w:t>
      </w:r>
      <w:r w:rsidRPr="00650A04">
        <w:rPr>
          <w:rFonts w:ascii="Times New Roman" w:eastAsia="Calibri" w:hAnsi="Times New Roman"/>
          <w:color w:val="auto"/>
          <w:lang w:val="pt-BR" w:eastAsia="en-US"/>
        </w:rPr>
        <w:t xml:space="preserve"> agravo regimental e, no mérito, negou-lhe provimento, mantendo decisão monocrática que declarou a competência funcional originária do TRT da 5ª Região para julgar dissídio coletivo de greve instaurado pela Prest Perfurações Ltda. em face do Sindicato dos Trabalhadores do Ramo Químico Petroleiro do Estado da Bahia. Ressaltou o Ministro relator que o sindicato suscitado tem base territorial estadual, a revelar, portanto, o âmbito local do conflito</w:t>
      </w:r>
      <w:r>
        <w:rPr>
          <w:rFonts w:ascii="Times New Roman" w:eastAsia="Calibri" w:hAnsi="Times New Roman"/>
          <w:color w:val="auto"/>
          <w:lang w:val="pt-BR" w:eastAsia="en-US"/>
        </w:rPr>
        <w:t xml:space="preserve">. Ademais, </w:t>
      </w:r>
      <w:r w:rsidRPr="00650A04">
        <w:rPr>
          <w:rFonts w:ascii="Times New Roman" w:eastAsia="Calibri" w:hAnsi="Times New Roman"/>
          <w:color w:val="auto"/>
          <w:lang w:val="pt-BR" w:eastAsia="en-US"/>
        </w:rPr>
        <w:t xml:space="preserve">não procede a alegação de que o caráter suprarregional ou nacional da negociação coletiva </w:t>
      </w:r>
      <w:r>
        <w:rPr>
          <w:rFonts w:ascii="Times New Roman" w:eastAsia="Calibri" w:hAnsi="Times New Roman"/>
          <w:color w:val="auto"/>
          <w:lang w:val="pt-BR" w:eastAsia="en-US"/>
        </w:rPr>
        <w:t xml:space="preserve">tradicionalmente entabulada pela empregadora </w:t>
      </w:r>
      <w:r w:rsidRPr="00650A04">
        <w:rPr>
          <w:rFonts w:ascii="Times New Roman" w:eastAsia="Calibri" w:hAnsi="Times New Roman"/>
          <w:color w:val="auto"/>
          <w:lang w:val="pt-BR" w:eastAsia="en-US"/>
        </w:rPr>
        <w:t>atrairia a competência do TST, pois é atividade que precede o exercício da jurisdição.</w:t>
      </w:r>
      <w:r w:rsidRPr="00650A04">
        <w:rPr>
          <w:rFonts w:ascii="Calibri" w:eastAsia="Calibri" w:hAnsi="Calibri"/>
          <w:color w:val="auto"/>
          <w:sz w:val="22"/>
          <w:szCs w:val="22"/>
          <w:lang w:val="pt-BR" w:eastAsia="en-US"/>
        </w:rPr>
        <w:t xml:space="preserve"> </w:t>
      </w:r>
      <w:hyperlink r:id="rId9" w:history="1">
        <w:r w:rsidRPr="000419B4">
          <w:rPr>
            <w:rStyle w:val="Hyperlink"/>
            <w:rFonts w:ascii="Times New Roman" w:eastAsia="Calibri" w:hAnsi="Times New Roman" w:cs="Courier New"/>
            <w:lang w:val="pt-BR" w:eastAsia="en-US"/>
          </w:rPr>
          <w:t>TST-AIRO-1180-42.2010.5.05.0000</w:t>
        </w:r>
      </w:hyperlink>
      <w:r w:rsidRPr="000419B4">
        <w:rPr>
          <w:rFonts w:ascii="Times New Roman" w:eastAsia="Calibri" w:hAnsi="Times New Roman"/>
          <w:color w:val="auto"/>
          <w:u w:val="single"/>
          <w:lang w:val="pt-BR" w:eastAsia="en-US"/>
        </w:rPr>
        <w:t>, SDC, rel. Min. Walmir Oliveira da Costa, 15.5.2012</w:t>
      </w:r>
      <w:r w:rsidRPr="00650A04">
        <w:rPr>
          <w:rFonts w:ascii="Times New Roman" w:eastAsia="Calibri" w:hAnsi="Times New Roman"/>
          <w:color w:val="auto"/>
          <w:u w:val="single"/>
          <w:lang w:val="pt-BR" w:eastAsia="en-US"/>
        </w:rPr>
        <w:t>.</w:t>
      </w:r>
    </w:p>
    <w:p w:rsidR="00E73397" w:rsidRPr="00E73397" w:rsidRDefault="00E73397" w:rsidP="00E73397">
      <w:pPr>
        <w:pStyle w:val="Ementa"/>
        <w:spacing w:line="276" w:lineRule="auto"/>
        <w:ind w:left="0" w:right="-567"/>
        <w:rPr>
          <w:rFonts w:ascii="Calibri" w:eastAsia="Calibri" w:hAnsi="Calibri"/>
          <w:color w:val="auto"/>
          <w:sz w:val="10"/>
          <w:szCs w:val="10"/>
          <w:lang w:val="pt-BR" w:eastAsia="en-US"/>
        </w:rPr>
      </w:pPr>
    </w:p>
    <w:p w:rsidR="002C2904" w:rsidRPr="005C68A8" w:rsidRDefault="00631F1C" w:rsidP="005C68A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5C68A8" w:rsidRPr="005C68A8" w:rsidRDefault="005C68A8" w:rsidP="00A21D22">
      <w:pPr>
        <w:ind w:right="-567"/>
        <w:jc w:val="both"/>
        <w:rPr>
          <w:b/>
          <w:i/>
          <w:sz w:val="10"/>
          <w:szCs w:val="10"/>
        </w:rPr>
      </w:pPr>
    </w:p>
    <w:p w:rsidR="00A21D22" w:rsidRDefault="00A21D22" w:rsidP="000419B4">
      <w:pPr>
        <w:jc w:val="both"/>
        <w:rPr>
          <w:b/>
          <w:i/>
          <w:sz w:val="24"/>
          <w:szCs w:val="24"/>
        </w:rPr>
      </w:pPr>
      <w:r>
        <w:rPr>
          <w:b/>
          <w:i/>
          <w:sz w:val="24"/>
          <w:szCs w:val="24"/>
        </w:rPr>
        <w:t>Gratificação de função de bancário. Verba assegurada por lei. Redução. Prescrição parcial. Súmula n.º 294 do TST, parte final.</w:t>
      </w:r>
      <w:r w:rsidRPr="003D032E">
        <w:rPr>
          <w:b/>
          <w:i/>
          <w:sz w:val="24"/>
          <w:szCs w:val="24"/>
        </w:rPr>
        <w:t xml:space="preserve"> </w:t>
      </w:r>
    </w:p>
    <w:p w:rsidR="00A21D22" w:rsidRDefault="00A21D22" w:rsidP="000419B4">
      <w:pPr>
        <w:jc w:val="both"/>
        <w:rPr>
          <w:sz w:val="24"/>
          <w:szCs w:val="24"/>
          <w:u w:val="single"/>
        </w:rPr>
      </w:pPr>
      <w:r w:rsidRPr="003D032E">
        <w:rPr>
          <w:sz w:val="24"/>
          <w:szCs w:val="24"/>
        </w:rPr>
        <w:t>N</w:t>
      </w:r>
      <w:r>
        <w:rPr>
          <w:sz w:val="24"/>
          <w:szCs w:val="24"/>
        </w:rPr>
        <w:t xml:space="preserve">os termos da parte final da Súmula nº 294 do TST, é parcial a prescrição para reclamar as diferenças decorrentes da redução da gratificação de função de bancário, pois seria verba assegurada por lei (art. 224, § 2º, da CLT). Com base nesse entendimento, a SBDI-I, por maioria, negou provimento ao recurso de embargos do banco reclamado. Vencidos os Ministros Ives Gandra </w:t>
      </w:r>
      <w:r>
        <w:rPr>
          <w:sz w:val="24"/>
          <w:szCs w:val="24"/>
        </w:rPr>
        <w:lastRenderedPageBreak/>
        <w:t xml:space="preserve">Martins Filho e Maria Cristina Peduzzi. </w:t>
      </w:r>
      <w:hyperlink r:id="rId10" w:history="1">
        <w:r w:rsidRPr="000419B4">
          <w:rPr>
            <w:rStyle w:val="Hyperlink"/>
            <w:sz w:val="24"/>
            <w:szCs w:val="24"/>
          </w:rPr>
          <w:t>TST-E-ED-RR-38200-79.2007.5.03.0048</w:t>
        </w:r>
      </w:hyperlink>
      <w:r w:rsidRPr="000419B4">
        <w:rPr>
          <w:sz w:val="24"/>
          <w:szCs w:val="24"/>
          <w:u w:val="single"/>
        </w:rPr>
        <w:t>, SBDI-I, rel. Min. Delaíde Miranda Arantes, 10.5.2012</w:t>
      </w:r>
      <w:r w:rsidRPr="003D032E">
        <w:rPr>
          <w:sz w:val="24"/>
          <w:szCs w:val="24"/>
          <w:u w:val="single"/>
        </w:rPr>
        <w:t>.</w:t>
      </w:r>
    </w:p>
    <w:p w:rsidR="00B14F7F" w:rsidRDefault="00B14F7F" w:rsidP="000419B4">
      <w:pPr>
        <w:ind w:right="-142"/>
        <w:jc w:val="both"/>
        <w:rPr>
          <w:b/>
          <w:i/>
          <w:sz w:val="10"/>
          <w:szCs w:val="10"/>
        </w:rPr>
      </w:pPr>
    </w:p>
    <w:p w:rsidR="005C68A8" w:rsidRDefault="005C68A8" w:rsidP="000419B4">
      <w:pPr>
        <w:jc w:val="both"/>
        <w:rPr>
          <w:b/>
          <w:i/>
          <w:sz w:val="24"/>
          <w:szCs w:val="24"/>
        </w:rPr>
      </w:pPr>
      <w:r>
        <w:rPr>
          <w:b/>
          <w:i/>
          <w:sz w:val="24"/>
          <w:szCs w:val="24"/>
        </w:rPr>
        <w:t>Representatividade sindical. Contec. Legitimidade para celebrar acordo coletivo com o Banco do Brasil S.A.</w:t>
      </w:r>
    </w:p>
    <w:p w:rsidR="006456B1" w:rsidRPr="005D1DE4" w:rsidRDefault="005C68A8" w:rsidP="000419B4">
      <w:pPr>
        <w:jc w:val="both"/>
        <w:rPr>
          <w:b/>
        </w:rPr>
      </w:pPr>
      <w:r>
        <w:rPr>
          <w:sz w:val="24"/>
          <w:szCs w:val="24"/>
        </w:rPr>
        <w:t xml:space="preserve">O fato de o Banco do Brasil S.A. ser uma instituição financeira que possui agências em todo o País e quadro de carreira organizado em âmbito nacional, aliado ao disposto no art. 611, § 2º, da CLT, que autoriza as federações ou confederações a celebrarem convenções coletivas para regerem as relações de trabalho no âmbito de suas representações, confere à Confederação Nacional dos Trabalhadores nas Empresas de Crédito (Contec) legitimidade para celebrar acordo coletivo com o referido banco. Diante desse entendimento, a SBDI-I, por unanimidade, não conheceu dos embargos, mantendo decisão turmária que desproveu o recurso de revista ao fundamento de que não merece reparo a decisão do TRT que julgara aplicável à espécie as normas estabelecidas com a Contec. </w:t>
      </w:r>
      <w:hyperlink r:id="rId11" w:history="1">
        <w:r w:rsidRPr="000419B4">
          <w:rPr>
            <w:rStyle w:val="Hyperlink"/>
            <w:sz w:val="24"/>
            <w:szCs w:val="24"/>
          </w:rPr>
          <w:t>TST-E-ED-RR-96000-27.2000.5.15.0032</w:t>
        </w:r>
      </w:hyperlink>
      <w:r w:rsidRPr="000419B4">
        <w:rPr>
          <w:sz w:val="24"/>
          <w:szCs w:val="24"/>
          <w:u w:val="single"/>
        </w:rPr>
        <w:t>, SBDI-I, rel. Min. Brito Pereira, 10.5.2012</w:t>
      </w:r>
      <w:r w:rsidRPr="003D032E">
        <w:rPr>
          <w:sz w:val="24"/>
          <w:szCs w:val="24"/>
          <w:u w:val="single"/>
        </w:rPr>
        <w:t>.</w:t>
      </w:r>
      <w:r w:rsidRPr="005D1DE4">
        <w:rPr>
          <w:b/>
        </w:rPr>
        <w:t xml:space="preserve"> </w:t>
      </w:r>
    </w:p>
    <w:p w:rsidR="00C26DFB" w:rsidRPr="005D1DE4" w:rsidRDefault="00C26DFB" w:rsidP="000419B4">
      <w:pPr>
        <w:ind w:right="-142"/>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E0" w:rsidRDefault="003336E0">
      <w:r>
        <w:separator/>
      </w:r>
    </w:p>
  </w:endnote>
  <w:endnote w:type="continuationSeparator" w:id="0">
    <w:p w:rsidR="003336E0" w:rsidRDefault="0033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19B4">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B71BA0">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E0" w:rsidRDefault="003336E0">
      <w:r>
        <w:separator/>
      </w:r>
    </w:p>
  </w:footnote>
  <w:footnote w:type="continuationSeparator" w:id="0">
    <w:p w:rsidR="003336E0" w:rsidRDefault="0033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A21D22">
      <w:rPr>
        <w:shadow/>
        <w:sz w:val="24"/>
        <w:szCs w:val="24"/>
      </w:rPr>
      <w:t>8</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0419B4">
      <w:rPr>
        <w:sz w:val="20"/>
        <w:szCs w:val="20"/>
      </w:rPr>
      <w:t>10</w:t>
    </w:r>
    <w:r w:rsidR="00A21D22">
      <w:rPr>
        <w:sz w:val="20"/>
        <w:szCs w:val="20"/>
      </w:rPr>
      <w:t xml:space="preserve"> a </w:t>
    </w:r>
    <w:r w:rsidR="000419B4">
      <w:rPr>
        <w:sz w:val="20"/>
        <w:szCs w:val="20"/>
      </w:rPr>
      <w:t>16</w:t>
    </w:r>
    <w:r w:rsidR="00A21D22">
      <w:rPr>
        <w:sz w:val="20"/>
        <w:szCs w:val="20"/>
      </w:rPr>
      <w:t xml:space="preserve"> de maio</w:t>
    </w:r>
    <w:r w:rsidR="00FE00AD" w:rsidRPr="00971E07">
      <w:rPr>
        <w:sz w:val="20"/>
        <w:szCs w:val="20"/>
      </w:rPr>
      <w:t xml:space="preserve"> de 20</w:t>
    </w:r>
    <w:r w:rsidR="00E16E01" w:rsidRPr="00971E07">
      <w:rPr>
        <w:sz w:val="20"/>
        <w:szCs w:val="20"/>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0A4904">
      <w:rPr>
        <w:b/>
        <w:sz w:val="40"/>
        <w:szCs w:val="40"/>
      </w:rPr>
      <w:t>8</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0419B4">
      <w:rPr>
        <w:i/>
        <w:iCs/>
      </w:rPr>
      <w:t>10</w:t>
    </w:r>
    <w:r w:rsidR="00FE00AD" w:rsidRPr="005D1DE4">
      <w:rPr>
        <w:i/>
        <w:iCs/>
      </w:rPr>
      <w:t xml:space="preserve"> a </w:t>
    </w:r>
    <w:r w:rsidR="000419B4">
      <w:rPr>
        <w:i/>
        <w:iCs/>
      </w:rPr>
      <w:t>16</w:t>
    </w:r>
    <w:r w:rsidR="00FE00AD" w:rsidRPr="005D1DE4">
      <w:rPr>
        <w:i/>
        <w:iCs/>
      </w:rPr>
      <w:t xml:space="preserve"> de </w:t>
    </w:r>
    <w:r w:rsidR="00A21D22">
      <w:rPr>
        <w:i/>
        <w:iCs/>
      </w:rPr>
      <w:t>maio</w:t>
    </w:r>
    <w:r w:rsidR="00FE00AD" w:rsidRPr="005D1DE4">
      <w:rPr>
        <w:i/>
        <w:iCs/>
      </w:rPr>
      <w:t xml:space="preserve"> de 2012</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19B4"/>
    <w:rsid w:val="000425FC"/>
    <w:rsid w:val="00050E85"/>
    <w:rsid w:val="00056752"/>
    <w:rsid w:val="00057B87"/>
    <w:rsid w:val="0006020E"/>
    <w:rsid w:val="000733B4"/>
    <w:rsid w:val="00073880"/>
    <w:rsid w:val="00075BDB"/>
    <w:rsid w:val="00080F10"/>
    <w:rsid w:val="0009237D"/>
    <w:rsid w:val="00093AE9"/>
    <w:rsid w:val="00093BA8"/>
    <w:rsid w:val="000A04E6"/>
    <w:rsid w:val="000A4904"/>
    <w:rsid w:val="000B4D41"/>
    <w:rsid w:val="000B67DF"/>
    <w:rsid w:val="000B7CDE"/>
    <w:rsid w:val="000C3022"/>
    <w:rsid w:val="000C672B"/>
    <w:rsid w:val="000C673F"/>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6E0"/>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68A8"/>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A62AA"/>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E66FB"/>
    <w:rsid w:val="009F21A2"/>
    <w:rsid w:val="009F4640"/>
    <w:rsid w:val="00A21D2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1BA0"/>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73397"/>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215004&amp;ano_int=2010&amp;qtd_acesso=3117657&amp;novoportal=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75220&amp;ano_int=2003&amp;qtd_acesso=1440193&amp;novoportal=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xt02.tst.jus.br/pls/ap01/ap_red100.resumo?num_int=354876&amp;ano_int=2008&amp;qtd_acesso=4796105&amp;novoportal=1" TargetMode="External"/><Relationship Id="rId4" Type="http://schemas.openxmlformats.org/officeDocument/2006/relationships/settings" Target="settings.xml"/><Relationship Id="rId9" Type="http://schemas.openxmlformats.org/officeDocument/2006/relationships/hyperlink" Target="http://ext02.tst.jus.br/pls/ap01/ap_red100.resumo?num_int=123193&amp;ano_int=2011&amp;qtd_acesso=2191661&amp;novoportal=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6DBB-294D-4DAC-8FB8-7A42BF5C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5435</CharactersWithSpaces>
  <SharedDoc>false</SharedDoc>
  <HLinks>
    <vt:vector size="24" baseType="variant">
      <vt:variant>
        <vt:i4>7077992</vt:i4>
      </vt:variant>
      <vt:variant>
        <vt:i4>9</vt:i4>
      </vt:variant>
      <vt:variant>
        <vt:i4>0</vt:i4>
      </vt:variant>
      <vt:variant>
        <vt:i4>5</vt:i4>
      </vt:variant>
      <vt:variant>
        <vt:lpwstr>http://ext02.tst.jus.br/pls/ap01/ap_red100.resumo?num_int=75220&amp;ano_int=2003&amp;qtd_acesso=1440193&amp;novoportal=1</vt:lpwstr>
      </vt:variant>
      <vt:variant>
        <vt:lpwstr/>
      </vt:variant>
      <vt:variant>
        <vt:i4>3735612</vt:i4>
      </vt:variant>
      <vt:variant>
        <vt:i4>6</vt:i4>
      </vt:variant>
      <vt:variant>
        <vt:i4>0</vt:i4>
      </vt:variant>
      <vt:variant>
        <vt:i4>5</vt:i4>
      </vt:variant>
      <vt:variant>
        <vt:lpwstr>http://ext02.tst.jus.br/pls/ap01/ap_red100.resumo?num_int=354876&amp;ano_int=2008&amp;qtd_acesso=4796105&amp;novoportal=1</vt:lpwstr>
      </vt:variant>
      <vt:variant>
        <vt:lpwstr/>
      </vt:variant>
      <vt:variant>
        <vt:i4>3539001</vt:i4>
      </vt:variant>
      <vt:variant>
        <vt:i4>3</vt:i4>
      </vt:variant>
      <vt:variant>
        <vt:i4>0</vt:i4>
      </vt:variant>
      <vt:variant>
        <vt:i4>5</vt:i4>
      </vt:variant>
      <vt:variant>
        <vt:lpwstr>http://ext02.tst.jus.br/pls/ap01/ap_red100.resumo?num_int=123193&amp;ano_int=2011&amp;qtd_acesso=2191661&amp;novoportal=1</vt:lpwstr>
      </vt:variant>
      <vt:variant>
        <vt:lpwstr/>
      </vt:variant>
      <vt:variant>
        <vt:i4>3932209</vt:i4>
      </vt:variant>
      <vt:variant>
        <vt:i4>0</vt:i4>
      </vt:variant>
      <vt:variant>
        <vt:i4>0</vt:i4>
      </vt:variant>
      <vt:variant>
        <vt:i4>5</vt:i4>
      </vt:variant>
      <vt:variant>
        <vt:lpwstr>http://ext02.tst.jus.br/pls/ap01/ap_red100.resumo?num_int=215004&amp;ano_int=2010&amp;qtd_acesso=3117657&amp;novoportal=1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2012-03-09T15:01:00Z</cp:lastPrinted>
  <dcterms:created xsi:type="dcterms:W3CDTF">2018-06-27T22:31:00Z</dcterms:created>
  <dcterms:modified xsi:type="dcterms:W3CDTF">2018-06-27T22:31:00Z</dcterms:modified>
</cp:coreProperties>
</file>