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Pr="00187A37" w:rsidRDefault="00C26DFB" w:rsidP="00DC50EB">
            <w:pPr>
              <w:pStyle w:val="Cabealho"/>
              <w:tabs>
                <w:tab w:val="clear" w:pos="4419"/>
                <w:tab w:val="clear" w:pos="8838"/>
              </w:tabs>
              <w:jc w:val="both"/>
              <w:rPr>
                <w:sz w:val="10"/>
                <w:szCs w:val="10"/>
              </w:rPr>
            </w:pPr>
            <w:r w:rsidRPr="00187A37">
              <w:rPr>
                <w:sz w:val="16"/>
                <w:szCs w:val="16"/>
              </w:rPr>
              <w:t>Este Informativo, elaborado a partir de notas tomadas nas sessões de julgamentos, contém resumos não</w:t>
            </w:r>
            <w:r w:rsidR="00DC50EB" w:rsidRPr="00187A37">
              <w:rPr>
                <w:sz w:val="16"/>
                <w:szCs w:val="16"/>
              </w:rPr>
              <w:t xml:space="preserve"> </w:t>
            </w:r>
            <w:r w:rsidRPr="00187A37">
              <w:rPr>
                <w:sz w:val="16"/>
                <w:szCs w:val="16"/>
              </w:rPr>
              <w:t>oficiais de decisões proferidas pelo Tribunal.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Pr="00187A37">
              <w:rPr>
                <w:sz w:val="16"/>
                <w:szCs w:val="16"/>
              </w:rPr>
              <w:t>da Justiça</w:t>
            </w:r>
            <w:r w:rsidR="00980944" w:rsidRPr="00187A37">
              <w:rPr>
                <w:sz w:val="16"/>
                <w:szCs w:val="16"/>
              </w:rPr>
              <w:t xml:space="preserve"> do Trabalho</w:t>
            </w:r>
            <w:r w:rsidRPr="00187A37">
              <w:rPr>
                <w:sz w:val="16"/>
                <w:szCs w:val="16"/>
              </w:rPr>
              <w:t>.</w:t>
            </w:r>
          </w:p>
        </w:tc>
      </w:tr>
    </w:tbl>
    <w:p w:rsidR="00EA29F5" w:rsidRPr="005D1DE4" w:rsidRDefault="00EA29F5" w:rsidP="00EA29F5">
      <w:pPr>
        <w:pStyle w:val="Corpodetexto2"/>
        <w:jc w:val="center"/>
        <w:rPr>
          <w:b/>
          <w:bCs/>
          <w:emboss/>
          <w:sz w:val="10"/>
          <w:szCs w:val="10"/>
        </w:rPr>
      </w:pPr>
    </w:p>
    <w:p w:rsidR="008A1A09" w:rsidRDefault="00631F1C" w:rsidP="00970F4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left"/>
      </w:pPr>
      <w:r>
        <w:rPr>
          <w:rFonts w:ascii="Times New Roman" w:hAnsi="Times New Roman" w:cs="Times New Roman"/>
          <w:b/>
          <w:bCs/>
          <w:shadow/>
          <w:color w:val="auto"/>
          <w:sz w:val="26"/>
          <w:szCs w:val="26"/>
          <w:lang w:val="pt-BR"/>
        </w:rPr>
        <w:tab/>
      </w:r>
      <w:r w:rsidR="00970F42">
        <w:rPr>
          <w:rFonts w:ascii="Times New Roman" w:hAnsi="Times New Roman" w:cs="Times New Roman"/>
          <w:b/>
          <w:bCs/>
          <w:shadow/>
          <w:color w:val="auto"/>
          <w:sz w:val="26"/>
          <w:szCs w:val="26"/>
          <w:lang w:val="pt-BR"/>
        </w:rPr>
        <w:t>SEÇÃO ESPECIALIZADA EM DISSÍDIOS COLETIVOS</w:t>
      </w:r>
    </w:p>
    <w:p w:rsidR="007C7272" w:rsidRPr="007F653F" w:rsidRDefault="007C7272" w:rsidP="007C7272">
      <w:pPr>
        <w:pStyle w:val="Corpo"/>
        <w:spacing w:line="240" w:lineRule="auto"/>
        <w:ind w:firstLine="0"/>
        <w:rPr>
          <w:rFonts w:ascii="Times New Roman" w:hAnsi="Times New Roman"/>
          <w:u w:val="single"/>
          <w:lang w:val="pt-BR"/>
        </w:rPr>
      </w:pPr>
    </w:p>
    <w:p w:rsidR="00970F42" w:rsidRPr="008656D5" w:rsidRDefault="00970F42" w:rsidP="00970F42">
      <w:pPr>
        <w:jc w:val="both"/>
        <w:rPr>
          <w:b/>
          <w:i/>
          <w:sz w:val="24"/>
          <w:szCs w:val="24"/>
        </w:rPr>
      </w:pPr>
      <w:r w:rsidRPr="008656D5">
        <w:rPr>
          <w:b/>
          <w:i/>
          <w:sz w:val="24"/>
          <w:szCs w:val="24"/>
        </w:rPr>
        <w:t xml:space="preserve">Ação de ressarcimento por danos materiais cumulada com obrigação de fazer. Hipótese não prevista no art. 70, I, do RITST. Incompetência funcional da SDC.  </w:t>
      </w:r>
    </w:p>
    <w:p w:rsidR="00970F42" w:rsidRPr="008656D5" w:rsidRDefault="00970F42" w:rsidP="00970F42">
      <w:pPr>
        <w:pStyle w:val="Corpo"/>
        <w:spacing w:line="240" w:lineRule="auto"/>
        <w:ind w:firstLine="0"/>
        <w:rPr>
          <w:rFonts w:ascii="Times New Roman" w:hAnsi="Times New Roman"/>
          <w:color w:val="auto"/>
          <w:u w:val="single"/>
          <w:lang w:val="pt-BR"/>
        </w:rPr>
      </w:pPr>
      <w:r w:rsidRPr="008656D5">
        <w:rPr>
          <w:rFonts w:ascii="Times New Roman" w:hAnsi="Times New Roman"/>
          <w:color w:val="auto"/>
          <w:lang w:val="pt-BR"/>
        </w:rPr>
        <w:t>A SDC não tem competência funcional para o julgamento de ação de ressarcimento por danos materiais</w:t>
      </w:r>
      <w:r w:rsidR="008656D5">
        <w:rPr>
          <w:rFonts w:ascii="Times New Roman" w:hAnsi="Times New Roman"/>
          <w:color w:val="auto"/>
          <w:lang w:val="pt-BR"/>
        </w:rPr>
        <w:t>,</w:t>
      </w:r>
      <w:r w:rsidRPr="008656D5">
        <w:rPr>
          <w:rFonts w:ascii="Times New Roman" w:hAnsi="Times New Roman"/>
          <w:color w:val="auto"/>
          <w:lang w:val="pt-BR"/>
        </w:rPr>
        <w:t xml:space="preserve"> cumulada com obrigação de fazer</w:t>
      </w:r>
      <w:r w:rsidR="008656D5">
        <w:rPr>
          <w:rFonts w:ascii="Times New Roman" w:hAnsi="Times New Roman"/>
          <w:color w:val="auto"/>
          <w:lang w:val="pt-BR"/>
        </w:rPr>
        <w:t>,</w:t>
      </w:r>
      <w:r w:rsidRPr="008656D5">
        <w:rPr>
          <w:rFonts w:ascii="Times New Roman" w:hAnsi="Times New Roman"/>
          <w:color w:val="auto"/>
          <w:lang w:val="pt-BR"/>
        </w:rPr>
        <w:t xml:space="preserve"> ajuizada pelo Sindicato dos Trabalhadores no Combate às Endemias e Saúde Preventiva no Estado do Rio de Janeiro contra a Fundação Nacional de Saúde – Funasa, pois o que se pretende é o pagamento de verbas trabalhistas decorrentes do descumprimento de normas legais e constitucionais, e não o pronunciamento do Poder Judiciário acerca do estabelecimento de normas para regulamentar as condições de trabalho da categoria profissional. Assim, afastando-se o caso concreto de qualquer das hipóteses descritas no art. 70, I, do RITST, e não sendo possível a remessa dos autos ao juízo competente, em razão da aplicação analógica do item II da Orientação Jurisprudencial nº 130 da SBDI-II, a SDC, por unanimidade, extinguiu o processo, sem resolução de mérito, nos termos do art. 113 c/c 267, IV, do CPC. </w:t>
      </w:r>
      <w:hyperlink r:id="rId8" w:history="1">
        <w:r w:rsidRPr="007F653F">
          <w:rPr>
            <w:rStyle w:val="Hyperlink"/>
            <w:rFonts w:ascii="Times New Roman" w:hAnsi="Times New Roman" w:cs="Courier New"/>
            <w:lang w:val="pt-BR"/>
          </w:rPr>
          <w:t>TST-RTOrd-553-37.2014.5.00.0000</w:t>
        </w:r>
      </w:hyperlink>
      <w:r w:rsidRPr="008656D5">
        <w:rPr>
          <w:rFonts w:ascii="Times New Roman" w:hAnsi="Times New Roman"/>
          <w:color w:val="auto"/>
          <w:u w:val="single"/>
          <w:lang w:val="pt-BR"/>
        </w:rPr>
        <w:t>, SDC, rel. Min. Mauricio Godinho Delgado, 8.4.2014</w:t>
      </w:r>
    </w:p>
    <w:p w:rsidR="00970F42" w:rsidRPr="008A1A09" w:rsidRDefault="00970F42" w:rsidP="007C7272">
      <w:pPr>
        <w:pStyle w:val="Corpo"/>
        <w:spacing w:line="240" w:lineRule="auto"/>
        <w:ind w:firstLine="0"/>
        <w:rPr>
          <w:rFonts w:ascii="Times New Roman" w:hAnsi="Times New Roman"/>
          <w:u w:val="single"/>
          <w:lang w:val="pt-BR"/>
        </w:rPr>
      </w:pPr>
    </w:p>
    <w:p w:rsidR="00631F1C"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C26DFB" w:rsidRDefault="00C26DFB">
      <w:pPr>
        <w:jc w:val="both"/>
        <w:rPr>
          <w:sz w:val="24"/>
          <w:szCs w:val="24"/>
          <w:u w:val="single"/>
        </w:rPr>
      </w:pPr>
    </w:p>
    <w:p w:rsidR="00970F42" w:rsidRPr="006E47AD" w:rsidRDefault="00970F42" w:rsidP="00970F42">
      <w:pPr>
        <w:jc w:val="both"/>
        <w:rPr>
          <w:b/>
          <w:i/>
          <w:sz w:val="24"/>
          <w:szCs w:val="24"/>
        </w:rPr>
      </w:pPr>
      <w:r w:rsidRPr="006E47AD">
        <w:rPr>
          <w:b/>
          <w:i/>
          <w:sz w:val="24"/>
          <w:szCs w:val="24"/>
        </w:rPr>
        <w:t xml:space="preserve">Erro na indicação do nome da parte. Ausência de prejuízo à parte contrária. Existência de outros elementos de identificação. Erro material. Configuração. </w:t>
      </w:r>
    </w:p>
    <w:p w:rsidR="00970F42" w:rsidRPr="006E47AD" w:rsidRDefault="00970F42" w:rsidP="00970F42">
      <w:pPr>
        <w:jc w:val="both"/>
        <w:rPr>
          <w:color w:val="000000"/>
          <w:sz w:val="24"/>
          <w:szCs w:val="24"/>
        </w:rPr>
      </w:pPr>
      <w:r w:rsidRPr="006E47AD">
        <w:rPr>
          <w:color w:val="000000"/>
          <w:sz w:val="24"/>
          <w:szCs w:val="24"/>
        </w:rPr>
        <w:t>Não há falar em ilegitimidade recursal na hipótese em que o erro na indicação do nome da parte recorrente não causou prejuízo à parte adversa (art. 794, CLT), nem impediu a análise do recurso de revista, eis que o feito pode ser identificado por outros elementos constantes dos autos, corretamente nominados. Na hipótese, não obstante tenha constado na folha de rosto e nas razões do apelo o nome da empresa JBS S/A, as circunstâncias e os elementos dos autos (número do processo, nome do reclamante, comprovante de depósito recursal e guia GRU Judicial) permitiam apreender que o correto nome da recorrente era S/A Fábrica de Produtos Alimentícios Vigor.  Com esse entendimento, e vislumbrando a ocorrência, tão somente, de erro material, a SBDI-I, por unanimidade, conheceu dos embargos interpostos pelo reclamante, por divergência jurisprudencial, e, no mérito, por maioria, negou-lhes provimento. Vencidos os Ministros Lelio Bentes Corrêa, Aloysio Corrêa da Veiga e Ant</w:t>
      </w:r>
      <w:r>
        <w:rPr>
          <w:color w:val="000000"/>
          <w:sz w:val="24"/>
          <w:szCs w:val="24"/>
        </w:rPr>
        <w:t>o</w:t>
      </w:r>
      <w:r w:rsidRPr="006E47AD">
        <w:rPr>
          <w:color w:val="000000"/>
          <w:sz w:val="24"/>
          <w:szCs w:val="24"/>
        </w:rPr>
        <w:t>nio José de Barros Levenhagen, que davam provimento aos embargos para restabelecer a decisão do Regional, a qual denegara seguimento ao recurso de revista por ilegitimidade recursal da JBS S/A.</w:t>
      </w:r>
      <w:r w:rsidRPr="006E47AD">
        <w:rPr>
          <w:sz w:val="24"/>
          <w:szCs w:val="24"/>
        </w:rPr>
        <w:t xml:space="preserve"> </w:t>
      </w:r>
      <w:hyperlink r:id="rId9" w:history="1">
        <w:r w:rsidRPr="002E57F8">
          <w:rPr>
            <w:rStyle w:val="Hyperlink"/>
            <w:sz w:val="24"/>
            <w:szCs w:val="24"/>
          </w:rPr>
          <w:t>TST-E-RR-652000-90.2009.5.09.0662</w:t>
        </w:r>
      </w:hyperlink>
      <w:r w:rsidRPr="006E47AD">
        <w:rPr>
          <w:sz w:val="24"/>
          <w:szCs w:val="24"/>
          <w:u w:val="single"/>
        </w:rPr>
        <w:t>, SBDI-I, rel. Min. Augusto César Leite de Carvalho, 10.4.2014</w:t>
      </w:r>
    </w:p>
    <w:p w:rsidR="00970F42" w:rsidRPr="008A1A09" w:rsidRDefault="00970F42">
      <w:pPr>
        <w:jc w:val="both"/>
        <w:rPr>
          <w:sz w:val="24"/>
          <w:szCs w:val="24"/>
          <w:u w:val="single"/>
        </w:rPr>
      </w:pPr>
    </w:p>
    <w:p w:rsidR="00970F42" w:rsidRPr="002736F7" w:rsidRDefault="00970F42" w:rsidP="00970F42">
      <w:pPr>
        <w:jc w:val="both"/>
        <w:rPr>
          <w:b/>
          <w:i/>
          <w:sz w:val="24"/>
          <w:szCs w:val="24"/>
        </w:rPr>
      </w:pPr>
      <w:r w:rsidRPr="002736F7">
        <w:rPr>
          <w:b/>
          <w:i/>
          <w:sz w:val="24"/>
          <w:szCs w:val="24"/>
        </w:rPr>
        <w:t>Dispensa por justa causa. Desídia.</w:t>
      </w:r>
      <w:r>
        <w:rPr>
          <w:b/>
          <w:i/>
          <w:sz w:val="24"/>
          <w:szCs w:val="24"/>
        </w:rPr>
        <w:t xml:space="preserve"> Art. 482, “e”, da CLT.</w:t>
      </w:r>
      <w:r w:rsidRPr="002736F7">
        <w:rPr>
          <w:b/>
          <w:i/>
          <w:sz w:val="24"/>
          <w:szCs w:val="24"/>
        </w:rPr>
        <w:t xml:space="preserve"> Princípios da proporcionalidade e</w:t>
      </w:r>
      <w:r>
        <w:rPr>
          <w:b/>
          <w:i/>
          <w:sz w:val="24"/>
          <w:szCs w:val="24"/>
        </w:rPr>
        <w:t xml:space="preserve"> da</w:t>
      </w:r>
      <w:r w:rsidRPr="002736F7">
        <w:rPr>
          <w:b/>
          <w:i/>
          <w:sz w:val="24"/>
          <w:szCs w:val="24"/>
        </w:rPr>
        <w:t xml:space="preserve"> gradação da pena. Inobservância. Falta grave afastada. </w:t>
      </w:r>
    </w:p>
    <w:p w:rsidR="00970F42" w:rsidRPr="002736F7" w:rsidRDefault="00970F42" w:rsidP="00970F42">
      <w:pPr>
        <w:jc w:val="both"/>
        <w:rPr>
          <w:sz w:val="24"/>
          <w:szCs w:val="24"/>
        </w:rPr>
      </w:pPr>
      <w:r w:rsidRPr="00753FD0">
        <w:rPr>
          <w:sz w:val="24"/>
          <w:szCs w:val="24"/>
        </w:rPr>
        <w:t>Para a caracterização da desídia</w:t>
      </w:r>
      <w:r>
        <w:rPr>
          <w:sz w:val="24"/>
          <w:szCs w:val="24"/>
        </w:rPr>
        <w:t xml:space="preserve"> de que trata </w:t>
      </w:r>
      <w:r w:rsidRPr="00753FD0">
        <w:rPr>
          <w:sz w:val="24"/>
          <w:szCs w:val="24"/>
        </w:rPr>
        <w:t xml:space="preserve">o art. 482, “e”, da CLT, </w:t>
      </w:r>
      <w:r>
        <w:rPr>
          <w:sz w:val="24"/>
          <w:szCs w:val="24"/>
        </w:rPr>
        <w:t>faz-se n</w:t>
      </w:r>
      <w:r w:rsidRPr="00753FD0">
        <w:rPr>
          <w:sz w:val="24"/>
          <w:szCs w:val="24"/>
        </w:rPr>
        <w:t>ecessária a habitualidade das faltas cometidas pelo empregado, bem como</w:t>
      </w:r>
      <w:r>
        <w:rPr>
          <w:sz w:val="24"/>
          <w:szCs w:val="24"/>
        </w:rPr>
        <w:t xml:space="preserve"> </w:t>
      </w:r>
      <w:r w:rsidRPr="00753FD0">
        <w:rPr>
          <w:sz w:val="24"/>
          <w:szCs w:val="24"/>
        </w:rPr>
        <w:t xml:space="preserve">a aplicação de penalidades gradativas, até culminar </w:t>
      </w:r>
      <w:r>
        <w:rPr>
          <w:sz w:val="24"/>
          <w:szCs w:val="24"/>
        </w:rPr>
        <w:t>n</w:t>
      </w:r>
      <w:r w:rsidRPr="00753FD0">
        <w:rPr>
          <w:sz w:val="24"/>
          <w:szCs w:val="24"/>
        </w:rPr>
        <w:t>a dispensa por justa causa.</w:t>
      </w:r>
      <w:r>
        <w:rPr>
          <w:sz w:val="24"/>
          <w:szCs w:val="24"/>
        </w:rPr>
        <w:t xml:space="preserve"> </w:t>
      </w:r>
      <w:r w:rsidRPr="002736F7">
        <w:rPr>
          <w:sz w:val="24"/>
          <w:szCs w:val="24"/>
        </w:rPr>
        <w:t>O</w:t>
      </w:r>
      <w:r>
        <w:rPr>
          <w:sz w:val="24"/>
          <w:szCs w:val="24"/>
        </w:rPr>
        <w:t>s</w:t>
      </w:r>
      <w:r w:rsidRPr="002736F7">
        <w:rPr>
          <w:sz w:val="24"/>
          <w:szCs w:val="24"/>
        </w:rPr>
        <w:t xml:space="preserve"> princípio</w:t>
      </w:r>
      <w:r>
        <w:rPr>
          <w:sz w:val="24"/>
          <w:szCs w:val="24"/>
        </w:rPr>
        <w:t>s</w:t>
      </w:r>
      <w:r w:rsidRPr="002736F7">
        <w:rPr>
          <w:sz w:val="24"/>
          <w:szCs w:val="24"/>
        </w:rPr>
        <w:t xml:space="preserve"> da proporcionalidade e da gradação da pena deve</w:t>
      </w:r>
      <w:r>
        <w:rPr>
          <w:sz w:val="24"/>
          <w:szCs w:val="24"/>
        </w:rPr>
        <w:t>m</w:t>
      </w:r>
      <w:r w:rsidRPr="002736F7">
        <w:rPr>
          <w:sz w:val="24"/>
          <w:szCs w:val="24"/>
        </w:rPr>
        <w:t xml:space="preserve"> ser observado</w:t>
      </w:r>
      <w:r>
        <w:rPr>
          <w:sz w:val="24"/>
          <w:szCs w:val="24"/>
        </w:rPr>
        <w:t>s</w:t>
      </w:r>
      <w:r w:rsidRPr="002736F7">
        <w:rPr>
          <w:sz w:val="24"/>
          <w:szCs w:val="24"/>
        </w:rPr>
        <w:t xml:space="preserve">, pois as punições revestem-se de caráter pedagógico, visando o ajuste do empregado às normas da empresa. </w:t>
      </w:r>
      <w:r>
        <w:rPr>
          <w:sz w:val="24"/>
          <w:szCs w:val="24"/>
        </w:rPr>
        <w:t>Nesse contexto</w:t>
      </w:r>
      <w:r w:rsidRPr="002736F7">
        <w:rPr>
          <w:sz w:val="24"/>
          <w:szCs w:val="24"/>
        </w:rPr>
        <w:t>,</w:t>
      </w:r>
      <w:r>
        <w:rPr>
          <w:sz w:val="24"/>
          <w:szCs w:val="24"/>
        </w:rPr>
        <w:t xml:space="preserve"> </w:t>
      </w:r>
      <w:r w:rsidRPr="002736F7">
        <w:rPr>
          <w:sz w:val="24"/>
          <w:szCs w:val="24"/>
        </w:rPr>
        <w:t xml:space="preserve">se o empregador não observa a necessária gradação da pena, </w:t>
      </w:r>
      <w:r w:rsidRPr="002736F7">
        <w:rPr>
          <w:sz w:val="24"/>
          <w:szCs w:val="24"/>
        </w:rPr>
        <w:lastRenderedPageBreak/>
        <w:t xml:space="preserve">apressando-se em romper o contrato de trabalho por justa causa, frustra o </w:t>
      </w:r>
      <w:r>
        <w:rPr>
          <w:sz w:val="24"/>
          <w:szCs w:val="24"/>
        </w:rPr>
        <w:t xml:space="preserve">sentido didático da penalidade, </w:t>
      </w:r>
      <w:r w:rsidRPr="002736F7">
        <w:rPr>
          <w:sz w:val="24"/>
          <w:szCs w:val="24"/>
        </w:rPr>
        <w:t>dando azo à desquali</w:t>
      </w:r>
      <w:r>
        <w:rPr>
          <w:sz w:val="24"/>
          <w:szCs w:val="24"/>
        </w:rPr>
        <w:t>ficação da resolução contratual em razão do excessivo rigor no exercício do poder diretivo da empresa</w:t>
      </w:r>
      <w:r w:rsidRPr="002736F7">
        <w:rPr>
          <w:sz w:val="24"/>
          <w:szCs w:val="24"/>
        </w:rPr>
        <w:t>. Com esse entendimento, a SBDI-I, por unanimidade, conheceu dos embargos interpostos pel</w:t>
      </w:r>
      <w:r>
        <w:rPr>
          <w:sz w:val="24"/>
          <w:szCs w:val="24"/>
        </w:rPr>
        <w:t>a</w:t>
      </w:r>
      <w:r w:rsidRPr="002736F7">
        <w:rPr>
          <w:sz w:val="24"/>
          <w:szCs w:val="24"/>
        </w:rPr>
        <w:t xml:space="preserve"> recla</w:t>
      </w:r>
      <w:r>
        <w:rPr>
          <w:sz w:val="24"/>
          <w:szCs w:val="24"/>
        </w:rPr>
        <w:t>mada</w:t>
      </w:r>
      <w:r w:rsidRPr="002736F7">
        <w:rPr>
          <w:sz w:val="24"/>
          <w:szCs w:val="24"/>
        </w:rPr>
        <w:t xml:space="preserve">, por </w:t>
      </w:r>
      <w:r>
        <w:rPr>
          <w:sz w:val="24"/>
          <w:szCs w:val="24"/>
        </w:rPr>
        <w:t>divergência jurisprudencial</w:t>
      </w:r>
      <w:r w:rsidRPr="002736F7">
        <w:rPr>
          <w:sz w:val="24"/>
          <w:szCs w:val="24"/>
        </w:rPr>
        <w:t xml:space="preserve">, e, no mérito, </w:t>
      </w:r>
      <w:r>
        <w:rPr>
          <w:sz w:val="24"/>
          <w:szCs w:val="24"/>
        </w:rPr>
        <w:t>negou</w:t>
      </w:r>
      <w:r w:rsidRPr="002736F7">
        <w:rPr>
          <w:sz w:val="24"/>
          <w:szCs w:val="24"/>
        </w:rPr>
        <w:t xml:space="preserve">-lhes provimento. </w:t>
      </w:r>
      <w:hyperlink r:id="rId10" w:history="1">
        <w:r w:rsidRPr="002E57F8">
          <w:rPr>
            <w:rStyle w:val="Hyperlink"/>
            <w:sz w:val="24"/>
            <w:szCs w:val="24"/>
          </w:rPr>
          <w:t>TST-E-ED-RR-21100-72.2009.5.14.0004</w:t>
        </w:r>
      </w:hyperlink>
      <w:r w:rsidRPr="00263320">
        <w:rPr>
          <w:sz w:val="24"/>
          <w:szCs w:val="24"/>
          <w:u w:val="single"/>
        </w:rPr>
        <w:t>, SBDI-I, rel. Min. Luiz Philippe Vieira de Mello Filho, 10.4.2014</w:t>
      </w:r>
    </w:p>
    <w:p w:rsidR="00592445" w:rsidRDefault="00592445">
      <w:pPr>
        <w:jc w:val="both"/>
        <w:rPr>
          <w:sz w:val="22"/>
          <w:szCs w:val="22"/>
          <w:u w:val="single"/>
        </w:rPr>
      </w:pPr>
    </w:p>
    <w:p w:rsidR="00970F42" w:rsidRDefault="00970F42" w:rsidP="00970F42">
      <w:pPr>
        <w:jc w:val="both"/>
        <w:rPr>
          <w:b/>
          <w:i/>
          <w:sz w:val="24"/>
          <w:szCs w:val="24"/>
        </w:rPr>
      </w:pPr>
      <w:r>
        <w:rPr>
          <w:b/>
          <w:i/>
          <w:sz w:val="24"/>
          <w:szCs w:val="24"/>
        </w:rPr>
        <w:t>Adicional de insalubridade. Indevido. Trabalho em locais destinados ao atendimento socioeducativo do menor infrator. Fundação Casa. Não enquadramento da atividade no rol previsto no Anexo 14 da NR 15 do MTE. Orientação Jurisprudencial nº 4, I, da SBDI-I.</w:t>
      </w:r>
    </w:p>
    <w:p w:rsidR="00970F42" w:rsidRPr="002736F7" w:rsidRDefault="00970F42" w:rsidP="00970F42">
      <w:pPr>
        <w:jc w:val="both"/>
        <w:rPr>
          <w:sz w:val="24"/>
          <w:szCs w:val="24"/>
        </w:rPr>
      </w:pPr>
      <w:r>
        <w:rPr>
          <w:sz w:val="24"/>
          <w:szCs w:val="24"/>
        </w:rPr>
        <w:t xml:space="preserve">Segundo a diretriz consagrada no item I da Orientação Jurisprudencial nº 4 da SBDI-I, para que o empregado tenha direito ao adicional de insalubridade é necessária a classificação da atividade insalubre na relação oficial elaborada pelo Ministério do Trabalho e Emprego, não sendo suficiente a constatação por meio de laudo pericial. Assim, é indevido o adicional de insalubridade aos empregados que trabalham em contato com internos em locais destinados ao atendimento socioeducativo do menor infrator, no caso, Fundação Casa, uma vez que a atividade não se enquadra no rol taxativo do MTE (Anexo 14 da Norma Regulamentadora 15), nem se equipara à desenvolvida nos hospitais e outros estabelecimentos de saúde, em que há reconhecidamente o contato com agentes biológicos. </w:t>
      </w:r>
      <w:r w:rsidRPr="002736F7">
        <w:rPr>
          <w:sz w:val="24"/>
          <w:szCs w:val="24"/>
        </w:rPr>
        <w:t>Com esse entendimento, a SBDI-I, por unanimidade, conheceu dos embargos interpostos pel</w:t>
      </w:r>
      <w:r>
        <w:rPr>
          <w:sz w:val="24"/>
          <w:szCs w:val="24"/>
        </w:rPr>
        <w:t>os</w:t>
      </w:r>
      <w:r w:rsidRPr="002736F7">
        <w:rPr>
          <w:sz w:val="24"/>
          <w:szCs w:val="24"/>
        </w:rPr>
        <w:t xml:space="preserve"> </w:t>
      </w:r>
      <w:r>
        <w:rPr>
          <w:sz w:val="24"/>
          <w:szCs w:val="24"/>
        </w:rPr>
        <w:t>reclamantes</w:t>
      </w:r>
      <w:r w:rsidRPr="002736F7">
        <w:rPr>
          <w:sz w:val="24"/>
          <w:szCs w:val="24"/>
        </w:rPr>
        <w:t xml:space="preserve">, por </w:t>
      </w:r>
      <w:r>
        <w:rPr>
          <w:sz w:val="24"/>
          <w:szCs w:val="24"/>
        </w:rPr>
        <w:t>divergência jurisprudencial</w:t>
      </w:r>
      <w:r w:rsidRPr="002736F7">
        <w:rPr>
          <w:sz w:val="24"/>
          <w:szCs w:val="24"/>
        </w:rPr>
        <w:t xml:space="preserve">, e, no mérito, </w:t>
      </w:r>
      <w:r>
        <w:rPr>
          <w:sz w:val="24"/>
          <w:szCs w:val="24"/>
        </w:rPr>
        <w:t>por maioria, negou-lhes provimento. Vencido o Ministro João Oreste Dalazen.</w:t>
      </w:r>
      <w:r w:rsidRPr="002736F7">
        <w:rPr>
          <w:sz w:val="24"/>
          <w:szCs w:val="24"/>
        </w:rPr>
        <w:t xml:space="preserve"> </w:t>
      </w:r>
      <w:hyperlink r:id="rId11" w:history="1">
        <w:r w:rsidRPr="00970F42">
          <w:rPr>
            <w:rStyle w:val="Hyperlink"/>
            <w:sz w:val="24"/>
            <w:szCs w:val="24"/>
          </w:rPr>
          <w:t>TST-E-RR-114800-83.2008.5.15.0142</w:t>
        </w:r>
      </w:hyperlink>
      <w:r w:rsidRPr="00263320">
        <w:rPr>
          <w:sz w:val="24"/>
          <w:szCs w:val="24"/>
          <w:u w:val="single"/>
        </w:rPr>
        <w:t xml:space="preserve">, SBDI-I, rel. Min. </w:t>
      </w:r>
      <w:r>
        <w:rPr>
          <w:sz w:val="24"/>
          <w:szCs w:val="24"/>
          <w:u w:val="single"/>
        </w:rPr>
        <w:t>Renato de Lacerda Paiva</w:t>
      </w:r>
      <w:r w:rsidRPr="00263320">
        <w:rPr>
          <w:sz w:val="24"/>
          <w:szCs w:val="24"/>
          <w:u w:val="single"/>
        </w:rPr>
        <w:t>, 10.4.2014</w:t>
      </w:r>
    </w:p>
    <w:p w:rsidR="00970F42" w:rsidRDefault="00970F42">
      <w:pPr>
        <w:jc w:val="both"/>
        <w:rPr>
          <w:sz w:val="22"/>
          <w:szCs w:val="22"/>
          <w:u w:val="single"/>
        </w:rPr>
      </w:pPr>
    </w:p>
    <w:p w:rsidR="00592445" w:rsidRDefault="00592445">
      <w:pPr>
        <w:jc w:val="both"/>
        <w:rPr>
          <w:sz w:val="22"/>
          <w:szCs w:val="22"/>
          <w:u w:val="single"/>
        </w:rPr>
      </w:pPr>
    </w:p>
    <w:p w:rsidR="00592445" w:rsidRPr="005D1DE4" w:rsidRDefault="00592445">
      <w:pPr>
        <w:jc w:val="both"/>
        <w:rPr>
          <w:sz w:val="22"/>
          <w:szCs w:val="22"/>
          <w:u w:val="single"/>
        </w:rPr>
      </w:pP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0"/>
          <w:szCs w:val="20"/>
        </w:rPr>
      </w:pPr>
      <w:r w:rsidRPr="005D1DE4">
        <w:rPr>
          <w:b w:val="0"/>
          <w:bCs w:val="0"/>
          <w:snapToGrid w:val="0"/>
          <w:sz w:val="20"/>
          <w:szCs w:val="20"/>
        </w:rPr>
        <w:t xml:space="preserve">Informativo TST é mantido pela </w:t>
      </w: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0"/>
          <w:szCs w:val="20"/>
        </w:rPr>
      </w:pPr>
      <w:r w:rsidRPr="005D1DE4">
        <w:rPr>
          <w:b w:val="0"/>
          <w:bCs w:val="0"/>
          <w:snapToGrid w:val="0"/>
          <w:sz w:val="20"/>
          <w:szCs w:val="20"/>
        </w:rPr>
        <w:t>Coordenadoria de Jurisprudência – CJUR</w:t>
      </w:r>
    </w:p>
    <w:p w:rsidR="00184590"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2"/>
          <w:szCs w:val="22"/>
        </w:rPr>
      </w:pPr>
      <w:r w:rsidRPr="005D1DE4">
        <w:rPr>
          <w:snapToGrid w:val="0"/>
        </w:rPr>
        <w:t>cjur@tst.jus.br</w:t>
      </w:r>
    </w:p>
    <w:sectPr w:rsidR="007614F1" w:rsidRPr="005D1DE4" w:rsidSect="00912CF7">
      <w:headerReference w:type="default" r:id="rId12"/>
      <w:footerReference w:type="default" r:id="rId13"/>
      <w:headerReference w:type="first" r:id="rId14"/>
      <w:footerReference w:type="first" r:id="rId15"/>
      <w:type w:val="continuous"/>
      <w:pgSz w:w="11907" w:h="16839" w:code="9"/>
      <w:pgMar w:top="1304" w:right="992"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DB3" w:rsidRDefault="00DA6DB3">
      <w:r>
        <w:separator/>
      </w:r>
    </w:p>
  </w:endnote>
  <w:endnote w:type="continuationSeparator" w:id="0">
    <w:p w:rsidR="00DA6DB3" w:rsidRDefault="00DA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B0693">
      <w:rPr>
        <w:rStyle w:val="Nmerodepgina"/>
        <w:noProof/>
      </w:rPr>
      <w:t>2</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2B0693">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DB3" w:rsidRDefault="00DA6DB3">
      <w:r>
        <w:separator/>
      </w:r>
    </w:p>
  </w:footnote>
  <w:footnote w:type="continuationSeparator" w:id="0">
    <w:p w:rsidR="00DA6DB3" w:rsidRDefault="00DA6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102C7C">
      <w:rPr>
        <w:shadow/>
        <w:sz w:val="24"/>
        <w:szCs w:val="24"/>
      </w:rPr>
      <w:t>7</w:t>
    </w:r>
    <w:r w:rsidR="005B58EB">
      <w:rPr>
        <w:shadow/>
        <w:sz w:val="24"/>
        <w:szCs w:val="24"/>
      </w:rPr>
      <w:t>9</w:t>
    </w:r>
  </w:p>
  <w:p w:rsidR="00FE00AD" w:rsidRPr="00971E07" w:rsidRDefault="00187A37">
    <w:pPr>
      <w:pStyle w:val="Ttulo6"/>
      <w:spacing w:line="360" w:lineRule="auto"/>
      <w:jc w:val="right"/>
      <w:rPr>
        <w:i/>
        <w:iCs/>
        <w:sz w:val="20"/>
        <w:szCs w:val="20"/>
      </w:rPr>
    </w:pPr>
    <w:r>
      <w:rPr>
        <w:noProof/>
      </w:rPr>
      <w:pict>
        <v:line id="_x0000_s2049" style="position:absolute;left:0;text-align:left;flip:x;z-index:251657216" from=".9pt,10.15pt" to="497.7pt,10.15pt" o:allowincell="f" strokecolor="#969696"/>
      </w:pict>
    </w:r>
    <w:r w:rsidR="002168DE">
      <w:rPr>
        <w:sz w:val="20"/>
        <w:szCs w:val="20"/>
      </w:rPr>
      <w:t xml:space="preserve">Período: </w:t>
    </w:r>
    <w:r w:rsidR="005B58EB">
      <w:rPr>
        <w:sz w:val="20"/>
        <w:szCs w:val="20"/>
      </w:rPr>
      <w:t>8</w:t>
    </w:r>
    <w:r w:rsidR="008A1A09">
      <w:rPr>
        <w:sz w:val="20"/>
        <w:szCs w:val="20"/>
      </w:rPr>
      <w:t xml:space="preserve"> a </w:t>
    </w:r>
    <w:r w:rsidR="005B58EB">
      <w:rPr>
        <w:sz w:val="20"/>
        <w:szCs w:val="20"/>
      </w:rPr>
      <w:t>22</w:t>
    </w:r>
    <w:r w:rsidR="008A1A09">
      <w:rPr>
        <w:sz w:val="20"/>
        <w:szCs w:val="20"/>
      </w:rPr>
      <w:t xml:space="preserve"> de abril </w:t>
    </w:r>
    <w:r w:rsidR="00FE00AD" w:rsidRPr="00971E07">
      <w:rPr>
        <w:sz w:val="20"/>
        <w:szCs w:val="20"/>
      </w:rPr>
      <w:t>de 20</w:t>
    </w:r>
    <w:r w:rsidR="00E16E01" w:rsidRPr="00971E07">
      <w:rPr>
        <w:sz w:val="20"/>
        <w:szCs w:val="20"/>
      </w:rPr>
      <w:t>1</w:t>
    </w:r>
    <w:r w:rsidR="00102C7C">
      <w:rPr>
        <w:sz w:val="20"/>
        <w:szCs w:val="20"/>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7.25pt">
          <v:imagedata r:id="rId1" o:title="TST LOGO"/>
        </v:shape>
      </w:pict>
    </w:r>
  </w:p>
  <w:p w:rsidR="00FE00AD" w:rsidRDefault="00A51749" w:rsidP="00592445">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102C7C">
      <w:rPr>
        <w:b/>
        <w:sz w:val="40"/>
        <w:szCs w:val="40"/>
      </w:rPr>
      <w:t>7</w:t>
    </w:r>
    <w:r w:rsidR="00970F42">
      <w:rPr>
        <w:b/>
        <w:sz w:val="40"/>
        <w:szCs w:val="40"/>
      </w:rPr>
      <w:t>9</w:t>
    </w:r>
  </w:p>
  <w:p w:rsidR="00592445" w:rsidRPr="005D1DE4" w:rsidRDefault="00592445" w:rsidP="00592445">
    <w:pPr>
      <w:pStyle w:val="Cabealho"/>
      <w:tabs>
        <w:tab w:val="clear" w:pos="4419"/>
        <w:tab w:val="clear" w:pos="8838"/>
        <w:tab w:val="left" w:pos="2793"/>
      </w:tabs>
      <w:jc w:val="right"/>
      <w:rPr>
        <w:i/>
        <w:iCs/>
        <w:sz w:val="10"/>
        <w:szCs w:val="10"/>
      </w:rPr>
    </w:pPr>
  </w:p>
  <w:p w:rsidR="00FE00AD" w:rsidRPr="005D1DE4" w:rsidRDefault="00912CF7">
    <w:pPr>
      <w:pStyle w:val="Cabealho"/>
      <w:jc w:val="right"/>
    </w:pPr>
    <w:r>
      <w:rPr>
        <w:i/>
        <w:iCs/>
      </w:rPr>
      <w:t xml:space="preserve">Período: </w:t>
    </w:r>
    <w:r w:rsidR="00970F42">
      <w:rPr>
        <w:i/>
        <w:iCs/>
      </w:rPr>
      <w:t xml:space="preserve">8 </w:t>
    </w:r>
    <w:r w:rsidR="00ED36FF">
      <w:rPr>
        <w:i/>
        <w:iCs/>
      </w:rPr>
      <w:t>a</w:t>
    </w:r>
    <w:r w:rsidR="008A1A09">
      <w:rPr>
        <w:i/>
        <w:iCs/>
      </w:rPr>
      <w:t xml:space="preserve"> </w:t>
    </w:r>
    <w:r w:rsidR="00970F42">
      <w:rPr>
        <w:i/>
        <w:iCs/>
      </w:rPr>
      <w:t>22</w:t>
    </w:r>
    <w:r w:rsidR="00ED36FF">
      <w:rPr>
        <w:i/>
        <w:iCs/>
      </w:rPr>
      <w:t xml:space="preserve"> de </w:t>
    </w:r>
    <w:r w:rsidR="008A1A09">
      <w:rPr>
        <w:i/>
        <w:iCs/>
      </w:rPr>
      <w:t>abril</w:t>
    </w:r>
    <w:r w:rsidR="00102C7C">
      <w:rPr>
        <w:i/>
        <w:iCs/>
      </w:rPr>
      <w:t xml:space="preserve"> </w:t>
    </w:r>
    <w:r w:rsidR="00FE00AD" w:rsidRPr="005D1DE4">
      <w:rPr>
        <w:i/>
        <w:iCs/>
      </w:rPr>
      <w:t>de 201</w:t>
    </w:r>
    <w:r w:rsidR="00102C7C">
      <w:rPr>
        <w:i/>
        <w:iCs/>
      </w:rPr>
      <w:t>4</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32056"/>
    <w:rsid w:val="000322FB"/>
    <w:rsid w:val="000425FC"/>
    <w:rsid w:val="000468D0"/>
    <w:rsid w:val="00050E85"/>
    <w:rsid w:val="00056752"/>
    <w:rsid w:val="00057B87"/>
    <w:rsid w:val="0006020E"/>
    <w:rsid w:val="000733B4"/>
    <w:rsid w:val="00073880"/>
    <w:rsid w:val="00075BDB"/>
    <w:rsid w:val="00080F10"/>
    <w:rsid w:val="0009237D"/>
    <w:rsid w:val="00093AE9"/>
    <w:rsid w:val="00093BA8"/>
    <w:rsid w:val="000A04E6"/>
    <w:rsid w:val="000B4D41"/>
    <w:rsid w:val="000B67DF"/>
    <w:rsid w:val="000B7CDE"/>
    <w:rsid w:val="000C3022"/>
    <w:rsid w:val="000C672B"/>
    <w:rsid w:val="000E0A91"/>
    <w:rsid w:val="000E2685"/>
    <w:rsid w:val="00102302"/>
    <w:rsid w:val="00102C7C"/>
    <w:rsid w:val="0011575C"/>
    <w:rsid w:val="0011692E"/>
    <w:rsid w:val="00137564"/>
    <w:rsid w:val="00137DC1"/>
    <w:rsid w:val="0015612D"/>
    <w:rsid w:val="00176D15"/>
    <w:rsid w:val="00184590"/>
    <w:rsid w:val="00187A37"/>
    <w:rsid w:val="0019151D"/>
    <w:rsid w:val="00193208"/>
    <w:rsid w:val="001C04D2"/>
    <w:rsid w:val="001C271F"/>
    <w:rsid w:val="001C6C93"/>
    <w:rsid w:val="001D4CF9"/>
    <w:rsid w:val="001D5AB0"/>
    <w:rsid w:val="001D757D"/>
    <w:rsid w:val="001E14BB"/>
    <w:rsid w:val="001E4B57"/>
    <w:rsid w:val="001E5BD1"/>
    <w:rsid w:val="001E713B"/>
    <w:rsid w:val="001F030F"/>
    <w:rsid w:val="00206810"/>
    <w:rsid w:val="002168DE"/>
    <w:rsid w:val="00221C66"/>
    <w:rsid w:val="00224AC2"/>
    <w:rsid w:val="0023559D"/>
    <w:rsid w:val="002402B0"/>
    <w:rsid w:val="002449F9"/>
    <w:rsid w:val="002635ED"/>
    <w:rsid w:val="00265D70"/>
    <w:rsid w:val="002662BA"/>
    <w:rsid w:val="00266D49"/>
    <w:rsid w:val="00271C5C"/>
    <w:rsid w:val="00271E67"/>
    <w:rsid w:val="002730B5"/>
    <w:rsid w:val="00280594"/>
    <w:rsid w:val="00285064"/>
    <w:rsid w:val="002A219D"/>
    <w:rsid w:val="002A546D"/>
    <w:rsid w:val="002B0693"/>
    <w:rsid w:val="002B4738"/>
    <w:rsid w:val="002B6377"/>
    <w:rsid w:val="002C2904"/>
    <w:rsid w:val="002E57F8"/>
    <w:rsid w:val="002E78CB"/>
    <w:rsid w:val="0033397A"/>
    <w:rsid w:val="00352B27"/>
    <w:rsid w:val="0036325E"/>
    <w:rsid w:val="003671FE"/>
    <w:rsid w:val="003708FD"/>
    <w:rsid w:val="0037667D"/>
    <w:rsid w:val="00384075"/>
    <w:rsid w:val="003908C5"/>
    <w:rsid w:val="00396053"/>
    <w:rsid w:val="003A4086"/>
    <w:rsid w:val="003A5E5B"/>
    <w:rsid w:val="003B045C"/>
    <w:rsid w:val="003B0A59"/>
    <w:rsid w:val="003B3EB5"/>
    <w:rsid w:val="003B4E23"/>
    <w:rsid w:val="003B767E"/>
    <w:rsid w:val="003C6FE7"/>
    <w:rsid w:val="003D032E"/>
    <w:rsid w:val="003D4205"/>
    <w:rsid w:val="003D463A"/>
    <w:rsid w:val="003F2078"/>
    <w:rsid w:val="0042772A"/>
    <w:rsid w:val="004323B0"/>
    <w:rsid w:val="00432443"/>
    <w:rsid w:val="00444E88"/>
    <w:rsid w:val="0045657C"/>
    <w:rsid w:val="004655CC"/>
    <w:rsid w:val="00466DB9"/>
    <w:rsid w:val="00486521"/>
    <w:rsid w:val="00486DFC"/>
    <w:rsid w:val="004922D6"/>
    <w:rsid w:val="004A14FC"/>
    <w:rsid w:val="004A5264"/>
    <w:rsid w:val="004B21AD"/>
    <w:rsid w:val="004C011C"/>
    <w:rsid w:val="004C14EA"/>
    <w:rsid w:val="004C2118"/>
    <w:rsid w:val="004C2612"/>
    <w:rsid w:val="004D3A48"/>
    <w:rsid w:val="004D6000"/>
    <w:rsid w:val="004D6415"/>
    <w:rsid w:val="004D71E8"/>
    <w:rsid w:val="004E393E"/>
    <w:rsid w:val="004E4507"/>
    <w:rsid w:val="004E4619"/>
    <w:rsid w:val="004F0A7D"/>
    <w:rsid w:val="0051538E"/>
    <w:rsid w:val="00517E01"/>
    <w:rsid w:val="00521EEC"/>
    <w:rsid w:val="005460BD"/>
    <w:rsid w:val="00553197"/>
    <w:rsid w:val="0055409E"/>
    <w:rsid w:val="00556367"/>
    <w:rsid w:val="00556B35"/>
    <w:rsid w:val="00573E13"/>
    <w:rsid w:val="00584F82"/>
    <w:rsid w:val="00591DFA"/>
    <w:rsid w:val="00592445"/>
    <w:rsid w:val="005A5695"/>
    <w:rsid w:val="005B2F00"/>
    <w:rsid w:val="005B57DE"/>
    <w:rsid w:val="005B58EB"/>
    <w:rsid w:val="005B74C2"/>
    <w:rsid w:val="005C1886"/>
    <w:rsid w:val="005C761E"/>
    <w:rsid w:val="005D0E5F"/>
    <w:rsid w:val="005D1DE4"/>
    <w:rsid w:val="005E35BD"/>
    <w:rsid w:val="005E3D4D"/>
    <w:rsid w:val="005E7FD1"/>
    <w:rsid w:val="005F2858"/>
    <w:rsid w:val="006002E3"/>
    <w:rsid w:val="006145AC"/>
    <w:rsid w:val="0061548C"/>
    <w:rsid w:val="00615F98"/>
    <w:rsid w:val="00621F9C"/>
    <w:rsid w:val="00631166"/>
    <w:rsid w:val="00631F1C"/>
    <w:rsid w:val="006366A4"/>
    <w:rsid w:val="006456B1"/>
    <w:rsid w:val="00653027"/>
    <w:rsid w:val="006564EC"/>
    <w:rsid w:val="0066084C"/>
    <w:rsid w:val="00672CF9"/>
    <w:rsid w:val="00672E11"/>
    <w:rsid w:val="0068273B"/>
    <w:rsid w:val="00691234"/>
    <w:rsid w:val="006931CC"/>
    <w:rsid w:val="006947F2"/>
    <w:rsid w:val="00697919"/>
    <w:rsid w:val="006B3FCF"/>
    <w:rsid w:val="006B46CA"/>
    <w:rsid w:val="006C0391"/>
    <w:rsid w:val="006C28B3"/>
    <w:rsid w:val="006D1F66"/>
    <w:rsid w:val="006D306E"/>
    <w:rsid w:val="006D4497"/>
    <w:rsid w:val="006F6C15"/>
    <w:rsid w:val="0070727E"/>
    <w:rsid w:val="00710D3A"/>
    <w:rsid w:val="0071315F"/>
    <w:rsid w:val="00713EBF"/>
    <w:rsid w:val="00721942"/>
    <w:rsid w:val="00722BE7"/>
    <w:rsid w:val="00732DF2"/>
    <w:rsid w:val="007614F1"/>
    <w:rsid w:val="007618C5"/>
    <w:rsid w:val="00764066"/>
    <w:rsid w:val="00776118"/>
    <w:rsid w:val="007B04F9"/>
    <w:rsid w:val="007B0F83"/>
    <w:rsid w:val="007B30D2"/>
    <w:rsid w:val="007C275A"/>
    <w:rsid w:val="007C7272"/>
    <w:rsid w:val="007D29A1"/>
    <w:rsid w:val="007E0EA7"/>
    <w:rsid w:val="007E3F23"/>
    <w:rsid w:val="007F142E"/>
    <w:rsid w:val="007F653F"/>
    <w:rsid w:val="007F7B5E"/>
    <w:rsid w:val="00802B1A"/>
    <w:rsid w:val="0080615C"/>
    <w:rsid w:val="0081027F"/>
    <w:rsid w:val="0081742D"/>
    <w:rsid w:val="00821F4D"/>
    <w:rsid w:val="00823906"/>
    <w:rsid w:val="008409D3"/>
    <w:rsid w:val="00845559"/>
    <w:rsid w:val="00854DB8"/>
    <w:rsid w:val="00854EF2"/>
    <w:rsid w:val="00863B86"/>
    <w:rsid w:val="008656D5"/>
    <w:rsid w:val="00871F69"/>
    <w:rsid w:val="00882A98"/>
    <w:rsid w:val="008842D0"/>
    <w:rsid w:val="00884AC4"/>
    <w:rsid w:val="0088579D"/>
    <w:rsid w:val="008A1A09"/>
    <w:rsid w:val="008A7953"/>
    <w:rsid w:val="008B3081"/>
    <w:rsid w:val="008B32D4"/>
    <w:rsid w:val="008D0020"/>
    <w:rsid w:val="008D3C38"/>
    <w:rsid w:val="008D6A05"/>
    <w:rsid w:val="008E2AE5"/>
    <w:rsid w:val="008E3F89"/>
    <w:rsid w:val="008F26CB"/>
    <w:rsid w:val="008F6509"/>
    <w:rsid w:val="008F79D9"/>
    <w:rsid w:val="009027C8"/>
    <w:rsid w:val="00912CF7"/>
    <w:rsid w:val="0093467A"/>
    <w:rsid w:val="0094155C"/>
    <w:rsid w:val="00951531"/>
    <w:rsid w:val="00960A3B"/>
    <w:rsid w:val="00967DE0"/>
    <w:rsid w:val="00970F42"/>
    <w:rsid w:val="00971E07"/>
    <w:rsid w:val="00980944"/>
    <w:rsid w:val="009857BB"/>
    <w:rsid w:val="00985818"/>
    <w:rsid w:val="00986D77"/>
    <w:rsid w:val="009943EC"/>
    <w:rsid w:val="009A32D5"/>
    <w:rsid w:val="009B6012"/>
    <w:rsid w:val="009C102D"/>
    <w:rsid w:val="009C2A4F"/>
    <w:rsid w:val="009D2B61"/>
    <w:rsid w:val="009D4C59"/>
    <w:rsid w:val="009D7F91"/>
    <w:rsid w:val="009E20EF"/>
    <w:rsid w:val="009E26EE"/>
    <w:rsid w:val="009F21A2"/>
    <w:rsid w:val="00A32FBF"/>
    <w:rsid w:val="00A407EA"/>
    <w:rsid w:val="00A51749"/>
    <w:rsid w:val="00A521B6"/>
    <w:rsid w:val="00A56962"/>
    <w:rsid w:val="00A6412C"/>
    <w:rsid w:val="00A64325"/>
    <w:rsid w:val="00A65CB9"/>
    <w:rsid w:val="00A75419"/>
    <w:rsid w:val="00A76661"/>
    <w:rsid w:val="00A76D2A"/>
    <w:rsid w:val="00A82081"/>
    <w:rsid w:val="00A8557E"/>
    <w:rsid w:val="00A91181"/>
    <w:rsid w:val="00A935AC"/>
    <w:rsid w:val="00AB299E"/>
    <w:rsid w:val="00AB507C"/>
    <w:rsid w:val="00AD6E76"/>
    <w:rsid w:val="00AE3EAA"/>
    <w:rsid w:val="00AE5EDF"/>
    <w:rsid w:val="00B14F7F"/>
    <w:rsid w:val="00B16EB9"/>
    <w:rsid w:val="00B22F24"/>
    <w:rsid w:val="00B22F53"/>
    <w:rsid w:val="00B23380"/>
    <w:rsid w:val="00B24DBE"/>
    <w:rsid w:val="00B34EB2"/>
    <w:rsid w:val="00B517C3"/>
    <w:rsid w:val="00B518B2"/>
    <w:rsid w:val="00B526EA"/>
    <w:rsid w:val="00B536FE"/>
    <w:rsid w:val="00B73FFA"/>
    <w:rsid w:val="00B874F1"/>
    <w:rsid w:val="00BB3A18"/>
    <w:rsid w:val="00BC1DE7"/>
    <w:rsid w:val="00BC5AEE"/>
    <w:rsid w:val="00BD6029"/>
    <w:rsid w:val="00BE0541"/>
    <w:rsid w:val="00BE1ADB"/>
    <w:rsid w:val="00C070DE"/>
    <w:rsid w:val="00C26DFB"/>
    <w:rsid w:val="00C273FA"/>
    <w:rsid w:val="00C30D06"/>
    <w:rsid w:val="00C42067"/>
    <w:rsid w:val="00C432D0"/>
    <w:rsid w:val="00C4398E"/>
    <w:rsid w:val="00C60B4A"/>
    <w:rsid w:val="00C65BDB"/>
    <w:rsid w:val="00C71A3B"/>
    <w:rsid w:val="00C76CFA"/>
    <w:rsid w:val="00C963F8"/>
    <w:rsid w:val="00C96BB1"/>
    <w:rsid w:val="00CA2F80"/>
    <w:rsid w:val="00CA3C3D"/>
    <w:rsid w:val="00CB0C2A"/>
    <w:rsid w:val="00CB23A5"/>
    <w:rsid w:val="00CC4B2B"/>
    <w:rsid w:val="00CC579C"/>
    <w:rsid w:val="00CC5F5F"/>
    <w:rsid w:val="00CD3460"/>
    <w:rsid w:val="00CD4B61"/>
    <w:rsid w:val="00CD5043"/>
    <w:rsid w:val="00CE2928"/>
    <w:rsid w:val="00CE314A"/>
    <w:rsid w:val="00D01C50"/>
    <w:rsid w:val="00D11B24"/>
    <w:rsid w:val="00D133C8"/>
    <w:rsid w:val="00D14DB8"/>
    <w:rsid w:val="00D244D5"/>
    <w:rsid w:val="00D2776A"/>
    <w:rsid w:val="00D3586A"/>
    <w:rsid w:val="00D413DB"/>
    <w:rsid w:val="00D420E2"/>
    <w:rsid w:val="00D4459D"/>
    <w:rsid w:val="00D573F9"/>
    <w:rsid w:val="00D6058B"/>
    <w:rsid w:val="00D63EC5"/>
    <w:rsid w:val="00D72C05"/>
    <w:rsid w:val="00D847CF"/>
    <w:rsid w:val="00DA0A99"/>
    <w:rsid w:val="00DA6DB3"/>
    <w:rsid w:val="00DA7603"/>
    <w:rsid w:val="00DA7E39"/>
    <w:rsid w:val="00DA7EDE"/>
    <w:rsid w:val="00DC0AB5"/>
    <w:rsid w:val="00DC50EB"/>
    <w:rsid w:val="00DD3FA0"/>
    <w:rsid w:val="00DE1E75"/>
    <w:rsid w:val="00DE5B2D"/>
    <w:rsid w:val="00DE5CE9"/>
    <w:rsid w:val="00E03064"/>
    <w:rsid w:val="00E04BD5"/>
    <w:rsid w:val="00E05A28"/>
    <w:rsid w:val="00E070D2"/>
    <w:rsid w:val="00E1539C"/>
    <w:rsid w:val="00E162B6"/>
    <w:rsid w:val="00E16E01"/>
    <w:rsid w:val="00E231D0"/>
    <w:rsid w:val="00E24A50"/>
    <w:rsid w:val="00E27F74"/>
    <w:rsid w:val="00E35639"/>
    <w:rsid w:val="00E432CC"/>
    <w:rsid w:val="00E50711"/>
    <w:rsid w:val="00E60EDA"/>
    <w:rsid w:val="00E62BBC"/>
    <w:rsid w:val="00E715CD"/>
    <w:rsid w:val="00E9503C"/>
    <w:rsid w:val="00E956D9"/>
    <w:rsid w:val="00EA1958"/>
    <w:rsid w:val="00EA29F5"/>
    <w:rsid w:val="00EA482D"/>
    <w:rsid w:val="00EB5FE6"/>
    <w:rsid w:val="00EB61A5"/>
    <w:rsid w:val="00EB7A09"/>
    <w:rsid w:val="00EC5AF4"/>
    <w:rsid w:val="00ED36FF"/>
    <w:rsid w:val="00ED661C"/>
    <w:rsid w:val="00EE41B5"/>
    <w:rsid w:val="00EE66C9"/>
    <w:rsid w:val="00EF11A9"/>
    <w:rsid w:val="00EF38E1"/>
    <w:rsid w:val="00EF749A"/>
    <w:rsid w:val="00EF771E"/>
    <w:rsid w:val="00F02565"/>
    <w:rsid w:val="00F05542"/>
    <w:rsid w:val="00F17A2C"/>
    <w:rsid w:val="00F26708"/>
    <w:rsid w:val="00F511EE"/>
    <w:rsid w:val="00F558E7"/>
    <w:rsid w:val="00F62016"/>
    <w:rsid w:val="00F63F44"/>
    <w:rsid w:val="00F6746D"/>
    <w:rsid w:val="00F80F6A"/>
    <w:rsid w:val="00F811CD"/>
    <w:rsid w:val="00F82D8F"/>
    <w:rsid w:val="00F83F62"/>
    <w:rsid w:val="00F9711D"/>
    <w:rsid w:val="00FA75E0"/>
    <w:rsid w:val="00FB20B1"/>
    <w:rsid w:val="00FB3AB4"/>
    <w:rsid w:val="00FC56A4"/>
    <w:rsid w:val="00FD3D06"/>
    <w:rsid w:val="00FD5662"/>
    <w:rsid w:val="00FD72B6"/>
    <w:rsid w:val="00FE00AD"/>
    <w:rsid w:val="00FE2CB6"/>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CorpoChar1">
    <w:name w:val="Corpo Char1"/>
    <w:uiPriority w:val="99"/>
    <w:locked/>
    <w:rsid w:val="007C7272"/>
    <w:rPr>
      <w:rFonts w:ascii="Courier New" w:eastAsia="Times New Roman" w:hAnsi="Courier New" w:cs="Times New Roman"/>
      <w:color w:val="000000"/>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plicacao5.tst.jus.br/consultaProcessual/consultaTstNumUnica.do?consulta=Consultar&amp;conscsjt=&amp;numeroTst=553&amp;digitoTst=37&amp;anoTst=2014&amp;orgaoTst=5&amp;tribunalTst=00&amp;varaTst=00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licacao5.tst.jus.br/consultaProcessual/consultaTstNumUnica.do?consulta=Consultar&amp;conscsjt=&amp;numeroTst=114800&amp;digitoTst=83&amp;anoTst=2008&amp;orgaoTst=5&amp;tribunalTst=15&amp;varaTst=014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plicacao5.tst.jus.br/consultaProcessual/consultaTstNumUnica.do?consulta=Consultar&amp;conscsjt=&amp;numeroTst=21100&amp;digitoTst=72&amp;anoTst=2009&amp;orgaoTst=5&amp;tribunalTst=14&amp;varaTst=0004" TargetMode="External"/><Relationship Id="rId4" Type="http://schemas.openxmlformats.org/officeDocument/2006/relationships/settings" Target="settings.xml"/><Relationship Id="rId9" Type="http://schemas.openxmlformats.org/officeDocument/2006/relationships/hyperlink" Target="https://aplicacao5.tst.jus.br/consultaProcessual/consultaTstNumUnica.do?consulta=Consultar&amp;conscsjt=&amp;numeroTst=652000&amp;digitoTst=90&amp;anoTst=2009&amp;orgaoTst=5&amp;tribunalTst=09&amp;varaTst=0662"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45CA0-9BDC-4DF9-B1B0-104C452AB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1009</Words>
  <Characters>5450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6447</CharactersWithSpaces>
  <SharedDoc>false</SharedDoc>
  <HLinks>
    <vt:vector size="24" baseType="variant">
      <vt:variant>
        <vt:i4>5505097</vt:i4>
      </vt:variant>
      <vt:variant>
        <vt:i4>9</vt:i4>
      </vt:variant>
      <vt:variant>
        <vt:i4>0</vt:i4>
      </vt:variant>
      <vt:variant>
        <vt:i4>5</vt:i4>
      </vt:variant>
      <vt:variant>
        <vt:lpwstr>https://aplicacao5.tst.jus.br/consultaProcessual/consultaTstNumUnica.do?consulta=Consultar&amp;conscsjt=&amp;numeroTst=114800&amp;digitoTst=83&amp;anoTst=2008&amp;orgaoTst=5&amp;tribunalTst=15&amp;varaTst=0142</vt:lpwstr>
      </vt:variant>
      <vt:variant>
        <vt:lpwstr/>
      </vt:variant>
      <vt:variant>
        <vt:i4>1441802</vt:i4>
      </vt:variant>
      <vt:variant>
        <vt:i4>6</vt:i4>
      </vt:variant>
      <vt:variant>
        <vt:i4>0</vt:i4>
      </vt:variant>
      <vt:variant>
        <vt:i4>5</vt:i4>
      </vt:variant>
      <vt:variant>
        <vt:lpwstr>https://aplicacao5.tst.jus.br/consultaProcessual/consultaTstNumUnica.do?consulta=Consultar&amp;conscsjt=&amp;numeroTst=21100&amp;digitoTst=72&amp;anoTst=2009&amp;orgaoTst=5&amp;tribunalTst=14&amp;varaTst=0004</vt:lpwstr>
      </vt:variant>
      <vt:variant>
        <vt:lpwstr/>
      </vt:variant>
      <vt:variant>
        <vt:i4>5832770</vt:i4>
      </vt:variant>
      <vt:variant>
        <vt:i4>3</vt:i4>
      </vt:variant>
      <vt:variant>
        <vt:i4>0</vt:i4>
      </vt:variant>
      <vt:variant>
        <vt:i4>5</vt:i4>
      </vt:variant>
      <vt:variant>
        <vt:lpwstr>https://aplicacao5.tst.jus.br/consultaProcessual/consultaTstNumUnica.do?consulta=Consultar&amp;conscsjt=&amp;numeroTst=652000&amp;digitoTst=90&amp;anoTst=2009&amp;orgaoTst=5&amp;tribunalTst=09&amp;varaTst=0662</vt:lpwstr>
      </vt:variant>
      <vt:variant>
        <vt:lpwstr/>
      </vt:variant>
      <vt:variant>
        <vt:i4>2293810</vt:i4>
      </vt:variant>
      <vt:variant>
        <vt:i4>0</vt:i4>
      </vt:variant>
      <vt:variant>
        <vt:i4>0</vt:i4>
      </vt:variant>
      <vt:variant>
        <vt:i4>5</vt:i4>
      </vt:variant>
      <vt:variant>
        <vt:lpwstr>https://aplicacao5.tst.jus.br/consultaProcessual/consultaTstNumUnica.do?consulta=Consultar&amp;conscsjt=&amp;numeroTst=553&amp;digitoTst=37&amp;anoTst=2014&amp;orgaoTst=5&amp;tribunalTst=00&amp;varaTst=0000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2014-04-01T19:08:00Z</cp:lastPrinted>
  <dcterms:created xsi:type="dcterms:W3CDTF">2018-06-27T21:47:00Z</dcterms:created>
  <dcterms:modified xsi:type="dcterms:W3CDTF">2018-06-27T21:47:00Z</dcterms:modified>
</cp:coreProperties>
</file>