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7C7272" w:rsidRPr="00971E07" w:rsidRDefault="00631F1C" w:rsidP="007C7272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8A1A09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</w:p>
    <w:p w:rsidR="008A1A09" w:rsidRDefault="008A1A09" w:rsidP="00592445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8A1A09" w:rsidRDefault="008A1A09" w:rsidP="008A1A0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Créditos trabalhistas. Precatório. Retenção de honorários advocatícios. Ausência do contrato de honorários. Ilegalidade. Art. 22, § 4º, do Estatuto da OAB.</w:t>
      </w:r>
    </w:p>
    <w:p w:rsidR="008A1A09" w:rsidRDefault="008A1A09" w:rsidP="008A1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luz do art. 22, § 4º, do Estatuto da OAB, mostra-se ilegal a retenção de honorários advocatícios sobre créditos trabalhistas em precatório quando não houver comprovação inequívoca do contrato de honorários firmado entre as partes. No caso em tela, </w:t>
      </w:r>
      <w:r w:rsidRPr="00D63427">
        <w:rPr>
          <w:sz w:val="24"/>
          <w:szCs w:val="24"/>
        </w:rPr>
        <w:t xml:space="preserve">após a liberação dos créditos trabalhistas de todos os exequentes por alvarás, dois deles não foram </w:t>
      </w:r>
      <w:r>
        <w:rPr>
          <w:sz w:val="24"/>
          <w:szCs w:val="24"/>
        </w:rPr>
        <w:t xml:space="preserve">localizados, razão pela qual os </w:t>
      </w:r>
      <w:r w:rsidRPr="00D63427">
        <w:rPr>
          <w:sz w:val="24"/>
          <w:szCs w:val="24"/>
        </w:rPr>
        <w:t>patronos</w:t>
      </w:r>
      <w:r>
        <w:rPr>
          <w:sz w:val="24"/>
          <w:szCs w:val="24"/>
        </w:rPr>
        <w:t xml:space="preserve"> devolveram ao juízo</w:t>
      </w:r>
      <w:r w:rsidRPr="00D63427">
        <w:rPr>
          <w:sz w:val="24"/>
          <w:szCs w:val="24"/>
        </w:rPr>
        <w:t xml:space="preserve"> o valor do crédito, </w:t>
      </w:r>
      <w:r>
        <w:rPr>
          <w:sz w:val="24"/>
          <w:szCs w:val="24"/>
        </w:rPr>
        <w:t>mas retiveram quantia correspondente aos</w:t>
      </w:r>
      <w:r w:rsidRPr="00D63427">
        <w:rPr>
          <w:sz w:val="24"/>
          <w:szCs w:val="24"/>
        </w:rPr>
        <w:t xml:space="preserve"> honorários advocatícios e</w:t>
      </w:r>
      <w:r>
        <w:rPr>
          <w:sz w:val="24"/>
          <w:szCs w:val="24"/>
        </w:rPr>
        <w:t xml:space="preserve"> às</w:t>
      </w:r>
      <w:r w:rsidRPr="00D63427">
        <w:rPr>
          <w:sz w:val="24"/>
          <w:szCs w:val="24"/>
        </w:rPr>
        <w:t xml:space="preserve"> despesas.</w:t>
      </w:r>
      <w:r>
        <w:rPr>
          <w:sz w:val="24"/>
          <w:szCs w:val="24"/>
        </w:rPr>
        <w:t xml:space="preserve"> O TRT considerou ilegítima a retenção, ao argumento de que o montante deduzido pelo causídico não faz parte do título exequendo, tendo sido alvo de suposto acordo verbal entre as partes, de modo que não pode o advogado, por si só, decidir o valor que lhe corresponde. Com esses fundamentos, o Órgão especial</w:t>
      </w:r>
      <w:r w:rsidRPr="006F29F7">
        <w:rPr>
          <w:sz w:val="24"/>
          <w:szCs w:val="24"/>
        </w:rPr>
        <w:t xml:space="preserve">, por </w:t>
      </w:r>
      <w:r>
        <w:rPr>
          <w:sz w:val="24"/>
          <w:szCs w:val="24"/>
        </w:rPr>
        <w:t>unanimidade</w:t>
      </w:r>
      <w:r w:rsidRPr="006F29F7">
        <w:rPr>
          <w:sz w:val="24"/>
          <w:szCs w:val="24"/>
        </w:rPr>
        <w:t>,</w:t>
      </w:r>
      <w:r>
        <w:rPr>
          <w:sz w:val="24"/>
          <w:szCs w:val="24"/>
        </w:rPr>
        <w:t xml:space="preserve"> negou provimento ao recurso ordinário, mantendo a decisão que determinara a imediata devolução dos valores retidos, sob pena de penhora. </w:t>
      </w:r>
      <w:hyperlink r:id="rId8" w:history="1">
        <w:r w:rsidRPr="00653027">
          <w:rPr>
            <w:rStyle w:val="Hyperlink"/>
            <w:rFonts w:cs="Courier New"/>
            <w:sz w:val="24"/>
            <w:szCs w:val="24"/>
          </w:rPr>
          <w:t>TST-RO-226400-86.1991.5.17.0001</w:t>
        </w:r>
      </w:hyperlink>
      <w:r w:rsidRPr="00D63427">
        <w:rPr>
          <w:rFonts w:cs="Courier New"/>
          <w:color w:val="000000"/>
          <w:sz w:val="24"/>
          <w:szCs w:val="24"/>
          <w:u w:val="single"/>
        </w:rPr>
        <w:t>, Órgão Especial, rel. Min. Hugo Carlos Scheuermann, 7.4.2014</w:t>
      </w:r>
    </w:p>
    <w:p w:rsidR="007C7272" w:rsidRPr="008A1A09" w:rsidRDefault="007C7272" w:rsidP="007C727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C26DFB" w:rsidRPr="008A1A09" w:rsidRDefault="00C26DFB">
      <w:pPr>
        <w:jc w:val="both"/>
        <w:rPr>
          <w:sz w:val="24"/>
          <w:szCs w:val="24"/>
          <w:u w:val="single"/>
        </w:rPr>
      </w:pPr>
    </w:p>
    <w:p w:rsidR="008A1A09" w:rsidRDefault="008A1A09" w:rsidP="008A1A0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Complementação de aposentadoria. Competência.</w:t>
      </w:r>
      <w:r w:rsidRPr="00E717B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STF-RE nº 586.453. Sentença prolatada antes de 20.02.2013 que decidiu pela incompetência da Justiça do Trabalho. Ausência de decisão de mérito. Competência da Justiça comum. </w:t>
      </w:r>
    </w:p>
    <w:p w:rsidR="008A1A09" w:rsidRDefault="008A1A09" w:rsidP="008A1A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 STF, nos autos do processo </w:t>
      </w:r>
      <w:r w:rsidRPr="004432EA">
        <w:rPr>
          <w:sz w:val="24"/>
          <w:szCs w:val="24"/>
        </w:rPr>
        <w:t>R</w:t>
      </w:r>
      <w:r>
        <w:rPr>
          <w:sz w:val="24"/>
          <w:szCs w:val="24"/>
        </w:rPr>
        <w:t>E nº</w:t>
      </w:r>
      <w:r w:rsidRPr="004432EA">
        <w:rPr>
          <w:sz w:val="24"/>
          <w:szCs w:val="24"/>
        </w:rPr>
        <w:t xml:space="preserve"> 586.453</w:t>
      </w:r>
      <w:r>
        <w:rPr>
          <w:sz w:val="24"/>
          <w:szCs w:val="24"/>
        </w:rPr>
        <w:t xml:space="preserve">, decidiu que as demandas relativas à complementação de aposentadoria são da competência da Justiça comum, mas </w:t>
      </w:r>
      <w:r w:rsidRPr="004432EA">
        <w:rPr>
          <w:sz w:val="24"/>
          <w:szCs w:val="24"/>
        </w:rPr>
        <w:t>determinou que os efeitos</w:t>
      </w:r>
      <w:r>
        <w:rPr>
          <w:sz w:val="24"/>
          <w:szCs w:val="24"/>
        </w:rPr>
        <w:t xml:space="preserve"> dessa decisão</w:t>
      </w:r>
      <w:r w:rsidRPr="004432EA">
        <w:rPr>
          <w:sz w:val="24"/>
          <w:szCs w:val="24"/>
        </w:rPr>
        <w:t>, com repercussão geral, fossem modulados a fim de se manter a competência da Justiça do Trabalho nas situações em que já houvesse sido proferida decisão de mérito at</w:t>
      </w:r>
      <w:r>
        <w:rPr>
          <w:sz w:val="24"/>
          <w:szCs w:val="24"/>
        </w:rPr>
        <w:t>é a data daquele julgamento (20.2.</w:t>
      </w:r>
      <w:r w:rsidRPr="004432EA">
        <w:rPr>
          <w:sz w:val="24"/>
          <w:szCs w:val="24"/>
        </w:rPr>
        <w:t>2013).</w:t>
      </w:r>
      <w:r>
        <w:rPr>
          <w:sz w:val="24"/>
          <w:szCs w:val="24"/>
        </w:rPr>
        <w:t xml:space="preserve"> Assim, tendo em conta que a sentença, mantida pelo TRT, que declarou a incompetência da Justiça do Trabalho para o julgamento de reclamatória relativa a diferenças de complementação de aposentadoria não pode ser considerada decisão de mérito, </w:t>
      </w:r>
      <w:r w:rsidRPr="00611510">
        <w:rPr>
          <w:sz w:val="24"/>
          <w:szCs w:val="24"/>
        </w:rPr>
        <w:t>a SBDI-I,</w:t>
      </w:r>
      <w:r>
        <w:rPr>
          <w:sz w:val="24"/>
          <w:szCs w:val="24"/>
        </w:rPr>
        <w:t xml:space="preserve"> por</w:t>
      </w:r>
      <w:r w:rsidRPr="00611510">
        <w:rPr>
          <w:sz w:val="24"/>
          <w:szCs w:val="24"/>
        </w:rPr>
        <w:t xml:space="preserve"> </w:t>
      </w:r>
      <w:r>
        <w:rPr>
          <w:sz w:val="24"/>
          <w:szCs w:val="24"/>
        </w:rPr>
        <w:t>unanimidade</w:t>
      </w:r>
      <w:r w:rsidRPr="00611510">
        <w:rPr>
          <w:sz w:val="24"/>
          <w:szCs w:val="24"/>
        </w:rPr>
        <w:t xml:space="preserve">, conheceu dos embargos </w:t>
      </w:r>
      <w:r>
        <w:rPr>
          <w:sz w:val="24"/>
          <w:szCs w:val="24"/>
        </w:rPr>
        <w:t>interpostos pela</w:t>
      </w:r>
      <w:r w:rsidRPr="00611510">
        <w:rPr>
          <w:sz w:val="24"/>
          <w:szCs w:val="24"/>
        </w:rPr>
        <w:t xml:space="preserve"> reclamada, por divergência jurisprudencial, e, no mérito, por maioria,</w:t>
      </w:r>
      <w:r>
        <w:rPr>
          <w:sz w:val="24"/>
          <w:szCs w:val="24"/>
        </w:rPr>
        <w:t xml:space="preserve"> deu-lhes</w:t>
      </w:r>
      <w:r w:rsidRPr="00611510">
        <w:rPr>
          <w:sz w:val="24"/>
          <w:szCs w:val="24"/>
        </w:rPr>
        <w:t xml:space="preserve"> provimento</w:t>
      </w:r>
      <w:r>
        <w:rPr>
          <w:sz w:val="24"/>
          <w:szCs w:val="24"/>
        </w:rPr>
        <w:t xml:space="preserve"> para restabelecer a referida sentença e determinar a remessa dos autos à Justiça comum. V</w:t>
      </w:r>
      <w:r w:rsidRPr="00611510">
        <w:rPr>
          <w:sz w:val="24"/>
          <w:szCs w:val="24"/>
        </w:rPr>
        <w:t>encido</w:t>
      </w:r>
      <w:r>
        <w:rPr>
          <w:sz w:val="24"/>
          <w:szCs w:val="24"/>
        </w:rPr>
        <w:t>s</w:t>
      </w:r>
      <w:r w:rsidRPr="00611510">
        <w:rPr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 w:rsidRPr="00611510">
        <w:rPr>
          <w:sz w:val="24"/>
          <w:szCs w:val="24"/>
        </w:rPr>
        <w:t xml:space="preserve"> Ministro</w:t>
      </w:r>
      <w:r>
        <w:rPr>
          <w:sz w:val="24"/>
          <w:szCs w:val="24"/>
        </w:rPr>
        <w:t xml:space="preserve">s </w:t>
      </w:r>
      <w:r w:rsidRPr="000A4DDB">
        <w:rPr>
          <w:sz w:val="24"/>
          <w:szCs w:val="24"/>
        </w:rPr>
        <w:t>João Oreste Dalazen</w:t>
      </w:r>
      <w:r w:rsidRPr="006115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A4DDB">
        <w:rPr>
          <w:sz w:val="24"/>
          <w:szCs w:val="24"/>
        </w:rPr>
        <w:t>Luiz Philippe Vieira de Mello Filho</w:t>
      </w:r>
      <w:r>
        <w:rPr>
          <w:sz w:val="24"/>
          <w:szCs w:val="24"/>
        </w:rPr>
        <w:t xml:space="preserve">, </w:t>
      </w:r>
      <w:r w:rsidRPr="000A4DDB">
        <w:rPr>
          <w:sz w:val="24"/>
          <w:szCs w:val="24"/>
        </w:rPr>
        <w:t>Delaíde Miranda Arantes</w:t>
      </w:r>
      <w:r>
        <w:rPr>
          <w:sz w:val="24"/>
          <w:szCs w:val="24"/>
        </w:rPr>
        <w:t xml:space="preserve"> e </w:t>
      </w:r>
      <w:r w:rsidRPr="000A4DDB">
        <w:rPr>
          <w:sz w:val="24"/>
          <w:szCs w:val="24"/>
        </w:rPr>
        <w:t>Brito Pereira</w:t>
      </w:r>
      <w:r>
        <w:rPr>
          <w:sz w:val="24"/>
          <w:szCs w:val="24"/>
        </w:rPr>
        <w:t>, os quais negavam provimento aos embargos por entenderem que a decisão da Suprema Corte limitou a competência residual da Justiça do Trabalho aos casos em que houver sentença proferida</w:t>
      </w:r>
      <w:r w:rsidRPr="00F85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até 20.2.2013, seja ela de mérito ou não. </w:t>
      </w:r>
      <w:hyperlink r:id="rId9" w:history="1">
        <w:r w:rsidRPr="00653027">
          <w:rPr>
            <w:rStyle w:val="Hyperlink"/>
            <w:sz w:val="24"/>
            <w:szCs w:val="24"/>
          </w:rPr>
          <w:t>TST-E-ED-ED-ED-RR-1011-92.2011.5.03.0059</w:t>
        </w:r>
      </w:hyperlink>
      <w:r w:rsidRPr="001C128C">
        <w:rPr>
          <w:sz w:val="24"/>
          <w:szCs w:val="24"/>
          <w:u w:val="single"/>
        </w:rPr>
        <w:t>, SBDI-I, rel.</w:t>
      </w:r>
      <w:r>
        <w:rPr>
          <w:sz w:val="24"/>
          <w:szCs w:val="24"/>
          <w:u w:val="single"/>
        </w:rPr>
        <w:t xml:space="preserve"> Min.</w:t>
      </w:r>
      <w:r w:rsidRPr="001C128C">
        <w:rPr>
          <w:sz w:val="24"/>
          <w:szCs w:val="24"/>
          <w:u w:val="single"/>
        </w:rPr>
        <w:t xml:space="preserve"> Renato de Lacerda Paiva, 3.4.2014</w:t>
      </w:r>
    </w:p>
    <w:p w:rsidR="00C26DFB" w:rsidRPr="008A1A09" w:rsidRDefault="00C26DFB">
      <w:pPr>
        <w:jc w:val="both"/>
        <w:rPr>
          <w:sz w:val="24"/>
          <w:szCs w:val="24"/>
          <w:u w:val="single"/>
        </w:rPr>
      </w:pPr>
    </w:p>
    <w:p w:rsidR="008A1A09" w:rsidRPr="008A1A09" w:rsidRDefault="008A1A09" w:rsidP="008A1A09">
      <w:pPr>
        <w:pStyle w:val="Corpo"/>
        <w:spacing w:line="240" w:lineRule="auto"/>
        <w:ind w:firstLine="0"/>
        <w:rPr>
          <w:rFonts w:ascii="Times New Roman" w:hAnsi="Times New Roman" w:cs="Times New Roman"/>
          <w:b/>
          <w:i/>
          <w:lang w:val="pt-BR"/>
        </w:rPr>
      </w:pPr>
      <w:r w:rsidRPr="008A1A09">
        <w:rPr>
          <w:rFonts w:ascii="Times New Roman" w:hAnsi="Times New Roman" w:cs="Times New Roman"/>
          <w:b/>
          <w:i/>
          <w:lang w:val="pt-BR"/>
        </w:rPr>
        <w:t xml:space="preserve">Peticionamento por meio eletrônico (E-DOC). Sistema indisponível na data do termo final do prazo recursal. Comprovação da indisponibilidade mediante prova documental superveniente. Possibilidade. Incidência do item III da Súmula nº 385 do TST. </w:t>
      </w:r>
    </w:p>
    <w:p w:rsidR="008A1A09" w:rsidRPr="008A1A09" w:rsidRDefault="008A1A09" w:rsidP="008A1A09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  <w:r w:rsidRPr="008A1A09">
        <w:rPr>
          <w:rFonts w:ascii="Times New Roman" w:hAnsi="Times New Roman" w:cs="Times New Roman"/>
          <w:lang w:val="pt-BR"/>
        </w:rPr>
        <w:t xml:space="preserve">Deve a Turma examinar, sob pena de cerceio do direito de defesa da parte, a prova de indisponibilidade do sistema de peticionamento eletrônico (E-DOC), apresentada em momento </w:t>
      </w:r>
      <w:r w:rsidRPr="008A1A09">
        <w:rPr>
          <w:rFonts w:ascii="Times New Roman" w:hAnsi="Times New Roman" w:cs="Times New Roman"/>
          <w:lang w:val="pt-BR"/>
        </w:rPr>
        <w:lastRenderedPageBreak/>
        <w:t xml:space="preserve">processual subsequente àquele em que o sistema ficou inoperante. Na hipótese, ante a decretação da intempestividade dos embargos declaratórios opostos pelo sistema E-DOC um dia após o termo final do prazo, e também protocolados no âmbito do TST no primeiro dia útil seguinte, a parte opôs novos declaratórios com a informação e a juntada do boletim de indisponibilidade do sistema ocorrida no último dia do prazo recursal. Assim, não tendo o órgão do Judiciário certificado nos autos a inoperância do sistema, tal como se procede no caso de feriado forense, deve o julgador reanalisar os requisitos inerentes ao prazo recursal, em face da apresentação de prova documental superveniente em sede de embargos de declaração, conforme preconiza o item III da Súmula nº 385 do TST. Com esse entendimento, a SBDI-I, à unanimidade, conheceu do recurso de embargos interposto pelo reclamante, por divergência jurisprudencial, e, no mérito, deu-lhe provimento para determinar o retorno dos autos à Turma de origem, para que prossiga no exame dos primeiros embargos de declaração, afastada a intempestividade. </w:t>
      </w:r>
      <w:hyperlink r:id="rId10" w:history="1">
        <w:r w:rsidRPr="008A1A09">
          <w:rPr>
            <w:rStyle w:val="Hyperlink"/>
            <w:rFonts w:ascii="Times New Roman" w:hAnsi="Times New Roman"/>
            <w:lang w:val="pt-BR"/>
          </w:rPr>
          <w:t>TST-</w:t>
        </w:r>
        <w:r w:rsidRPr="008A1A09">
          <w:rPr>
            <w:rStyle w:val="Hyperlink"/>
            <w:rFonts w:ascii="Times New Roman" w:hAnsi="Times New Roman"/>
            <w:bCs/>
            <w:lang w:val="pt-BR"/>
          </w:rPr>
          <w:t>E-ED-ED-RR-1940-61.2010.5.06.0000</w:t>
        </w:r>
      </w:hyperlink>
      <w:r w:rsidRPr="008A1A09">
        <w:rPr>
          <w:rFonts w:ascii="Times New Roman" w:hAnsi="Times New Roman" w:cs="Times New Roman"/>
          <w:u w:val="single"/>
          <w:lang w:val="pt-BR"/>
        </w:rPr>
        <w:t>, SBDI-I, rel. Min. Luiz Philippe Vieira de Mello Filho, 3.4.2014</w:t>
      </w:r>
    </w:p>
    <w:p w:rsidR="008A1A09" w:rsidRPr="008A1A09" w:rsidRDefault="008A1A09">
      <w:pPr>
        <w:jc w:val="both"/>
        <w:rPr>
          <w:sz w:val="24"/>
          <w:szCs w:val="24"/>
          <w:u w:val="single"/>
        </w:rPr>
      </w:pPr>
    </w:p>
    <w:p w:rsidR="008A1A09" w:rsidRDefault="008A1A09" w:rsidP="008A1A0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Adicional de periculosidade. Lei Complementar nº 315/83 do Estado de São Paulo. Concessão aos servidores da administração pública centralizada. Impossibilidade de extensão aos empregados da Funap. Fundação pública estadual dotada de personalidade jurídica própria. Administração indireta.</w:t>
      </w:r>
    </w:p>
    <w:p w:rsidR="008A1A09" w:rsidRDefault="008A1A09" w:rsidP="008A1A09">
      <w:pPr>
        <w:jc w:val="both"/>
        <w:rPr>
          <w:rFonts w:cs="Courier New"/>
          <w:color w:val="000000"/>
          <w:sz w:val="24"/>
          <w:szCs w:val="24"/>
          <w:u w:val="single"/>
        </w:rPr>
      </w:pPr>
      <w:r w:rsidRPr="00AB199C">
        <w:rPr>
          <w:rFonts w:cs="Courier New"/>
          <w:color w:val="000000"/>
          <w:sz w:val="24"/>
          <w:szCs w:val="24"/>
        </w:rPr>
        <w:t>O art. 1º da Lei Complementar nº 315/83</w:t>
      </w:r>
      <w:r>
        <w:rPr>
          <w:rFonts w:cs="Courier New"/>
          <w:color w:val="000000"/>
          <w:sz w:val="24"/>
          <w:szCs w:val="24"/>
        </w:rPr>
        <w:t xml:space="preserve"> do Estado de São Paulo</w:t>
      </w:r>
      <w:r w:rsidRPr="00AB199C">
        <w:rPr>
          <w:rFonts w:cs="Courier New"/>
          <w:color w:val="000000"/>
          <w:sz w:val="24"/>
          <w:szCs w:val="24"/>
        </w:rPr>
        <w:t xml:space="preserve"> prevê a concessão de adicional de periculosidade apenas para o servidor (estatutário ou celetista) da administração pública centralizada que exerça as suas atividades, de forma permanente, em estabelecimentos penitenciários. Excluem-se do alcance do referido dispositivo legal</w:t>
      </w:r>
      <w:r>
        <w:rPr>
          <w:rFonts w:cs="Courier New"/>
          <w:color w:val="000000"/>
          <w:sz w:val="24"/>
          <w:szCs w:val="24"/>
        </w:rPr>
        <w:t>, portanto,</w:t>
      </w:r>
      <w:r w:rsidRPr="00AB199C">
        <w:rPr>
          <w:rFonts w:cs="Courier New"/>
          <w:color w:val="000000"/>
          <w:sz w:val="24"/>
          <w:szCs w:val="24"/>
        </w:rPr>
        <w:t xml:space="preserve"> os empregados da</w:t>
      </w:r>
      <w:r>
        <w:rPr>
          <w:rFonts w:cs="Courier New"/>
          <w:color w:val="000000"/>
          <w:sz w:val="24"/>
          <w:szCs w:val="24"/>
        </w:rPr>
        <w:t xml:space="preserve"> Fundação Professor Doutor Manoel Pedro Pimentel - </w:t>
      </w:r>
      <w:r w:rsidRPr="00AB199C">
        <w:rPr>
          <w:rFonts w:cs="Courier New"/>
          <w:color w:val="000000"/>
          <w:sz w:val="24"/>
          <w:szCs w:val="24"/>
        </w:rPr>
        <w:t>F</w:t>
      </w:r>
      <w:r>
        <w:rPr>
          <w:rFonts w:cs="Courier New"/>
          <w:color w:val="000000"/>
          <w:sz w:val="24"/>
          <w:szCs w:val="24"/>
        </w:rPr>
        <w:t>unap</w:t>
      </w:r>
      <w:r w:rsidRPr="00AB199C">
        <w:rPr>
          <w:rFonts w:cs="Courier New"/>
          <w:color w:val="000000"/>
          <w:sz w:val="24"/>
          <w:szCs w:val="24"/>
        </w:rPr>
        <w:t>, porque</w:t>
      </w:r>
      <w:r>
        <w:rPr>
          <w:rFonts w:cs="Courier New"/>
          <w:color w:val="000000"/>
          <w:sz w:val="24"/>
          <w:szCs w:val="24"/>
        </w:rPr>
        <w:t xml:space="preserve"> se trata de f</w:t>
      </w:r>
      <w:r w:rsidRPr="00AB199C">
        <w:rPr>
          <w:rFonts w:cs="Courier New"/>
          <w:color w:val="000000"/>
          <w:sz w:val="24"/>
          <w:szCs w:val="24"/>
        </w:rPr>
        <w:t>undação pública estadual, detentora de personalidade jurídica própria, integra</w:t>
      </w:r>
      <w:r>
        <w:rPr>
          <w:rFonts w:cs="Courier New"/>
          <w:color w:val="000000"/>
          <w:sz w:val="24"/>
          <w:szCs w:val="24"/>
        </w:rPr>
        <w:t>nte</w:t>
      </w:r>
      <w:r w:rsidRPr="00AB199C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ourier New"/>
          <w:color w:val="000000"/>
          <w:sz w:val="24"/>
          <w:szCs w:val="24"/>
        </w:rPr>
        <w:t>d</w:t>
      </w:r>
      <w:r w:rsidRPr="00AB199C">
        <w:rPr>
          <w:rFonts w:cs="Courier New"/>
          <w:color w:val="000000"/>
          <w:sz w:val="24"/>
          <w:szCs w:val="24"/>
        </w:rPr>
        <w:t xml:space="preserve">a administração indireta </w:t>
      </w:r>
      <w:r>
        <w:rPr>
          <w:rFonts w:cs="Courier New"/>
          <w:color w:val="000000"/>
          <w:sz w:val="24"/>
          <w:szCs w:val="24"/>
        </w:rPr>
        <w:t>do estado</w:t>
      </w:r>
      <w:r w:rsidRPr="00AB199C">
        <w:rPr>
          <w:rFonts w:cs="Courier New"/>
          <w:color w:val="000000"/>
          <w:sz w:val="24"/>
          <w:szCs w:val="24"/>
        </w:rPr>
        <w:t>. Com esse entendimento</w:t>
      </w:r>
      <w:r>
        <w:rPr>
          <w:rFonts w:cs="Courier New"/>
          <w:color w:val="000000"/>
          <w:sz w:val="24"/>
          <w:szCs w:val="24"/>
        </w:rPr>
        <w:t>, a SBDI-I</w:t>
      </w:r>
      <w:r w:rsidRPr="00AB199C">
        <w:rPr>
          <w:rFonts w:cs="Courier New"/>
          <w:color w:val="000000"/>
          <w:sz w:val="24"/>
          <w:szCs w:val="24"/>
        </w:rPr>
        <w:t>,</w:t>
      </w:r>
      <w:r>
        <w:rPr>
          <w:rFonts w:cs="Courier New"/>
          <w:color w:val="000000"/>
          <w:sz w:val="24"/>
          <w:szCs w:val="24"/>
        </w:rPr>
        <w:t xml:space="preserve"> por unanimidade, conheceu dos embargos interpostos pelo reclamante, por divergência jurisprudencial, e, no mérito,</w:t>
      </w:r>
      <w:r w:rsidRPr="00AB199C">
        <w:rPr>
          <w:rFonts w:cs="Courier New"/>
          <w:color w:val="000000"/>
          <w:sz w:val="24"/>
          <w:szCs w:val="24"/>
        </w:rPr>
        <w:t xml:space="preserve"> por maioria, negou</w:t>
      </w:r>
      <w:r>
        <w:rPr>
          <w:rFonts w:cs="Courier New"/>
          <w:color w:val="000000"/>
          <w:sz w:val="24"/>
          <w:szCs w:val="24"/>
        </w:rPr>
        <w:t>-lhes</w:t>
      </w:r>
      <w:r w:rsidRPr="00AB199C">
        <w:rPr>
          <w:rFonts w:cs="Courier New"/>
          <w:color w:val="000000"/>
          <w:sz w:val="24"/>
          <w:szCs w:val="24"/>
        </w:rPr>
        <w:t xml:space="preserve"> provimento</w:t>
      </w:r>
      <w:r>
        <w:rPr>
          <w:rFonts w:cs="Courier New"/>
          <w:color w:val="000000"/>
          <w:sz w:val="24"/>
          <w:szCs w:val="24"/>
        </w:rPr>
        <w:t>. V</w:t>
      </w:r>
      <w:r w:rsidRPr="00AB199C">
        <w:rPr>
          <w:rFonts w:cs="Courier New"/>
          <w:color w:val="000000"/>
          <w:sz w:val="24"/>
          <w:szCs w:val="24"/>
        </w:rPr>
        <w:t>encidos os Ministros Guilherme Augusto Caputo Bastos, Rosa Maria Weber, Maria de Assis Calsing, Augusto César de Carvalho e Delaíde Miranda Arantes</w:t>
      </w:r>
      <w:r>
        <w:rPr>
          <w:rFonts w:cs="Courier New"/>
          <w:color w:val="000000"/>
          <w:sz w:val="24"/>
          <w:szCs w:val="24"/>
        </w:rPr>
        <w:t>.</w:t>
      </w:r>
      <w:r w:rsidRPr="00AB199C">
        <w:rPr>
          <w:rFonts w:cs="Courier New"/>
          <w:color w:val="000000"/>
          <w:sz w:val="24"/>
          <w:szCs w:val="24"/>
        </w:rPr>
        <w:t xml:space="preserve"> </w:t>
      </w:r>
      <w:hyperlink r:id="rId11" w:history="1">
        <w:r w:rsidRPr="008A1A09">
          <w:rPr>
            <w:rStyle w:val="Hyperlink"/>
            <w:rFonts w:cs="Courier New"/>
            <w:sz w:val="24"/>
            <w:szCs w:val="24"/>
          </w:rPr>
          <w:t>TST-E-RR-35200-69.2006.5.02.0069</w:t>
        </w:r>
      </w:hyperlink>
      <w:r>
        <w:rPr>
          <w:rFonts w:cs="Courier New"/>
          <w:color w:val="000000"/>
          <w:sz w:val="24"/>
          <w:szCs w:val="24"/>
          <w:u w:val="single"/>
        </w:rPr>
        <w:t>, SBDI-I</w:t>
      </w:r>
      <w:r w:rsidRPr="00AB199C">
        <w:rPr>
          <w:rFonts w:cs="Courier New"/>
          <w:color w:val="000000"/>
          <w:sz w:val="24"/>
          <w:szCs w:val="24"/>
          <w:u w:val="single"/>
        </w:rPr>
        <w:t>, rel. Min. Horácio Raymundo de Senna Pires, 3.4.2014</w:t>
      </w:r>
    </w:p>
    <w:p w:rsidR="008A1A09" w:rsidRDefault="008A1A09" w:rsidP="008A1A09">
      <w:pPr>
        <w:jc w:val="both"/>
        <w:rPr>
          <w:b/>
          <w:i/>
          <w:sz w:val="24"/>
          <w:szCs w:val="24"/>
        </w:rPr>
      </w:pPr>
    </w:p>
    <w:p w:rsidR="008A1A09" w:rsidRPr="00895CC6" w:rsidRDefault="008A1A09" w:rsidP="008A1A09">
      <w:pPr>
        <w:jc w:val="both"/>
        <w:rPr>
          <w:b/>
          <w:i/>
          <w:sz w:val="24"/>
          <w:szCs w:val="24"/>
        </w:rPr>
      </w:pPr>
      <w:r w:rsidRPr="00EA7183">
        <w:rPr>
          <w:b/>
          <w:i/>
          <w:sz w:val="24"/>
          <w:szCs w:val="24"/>
        </w:rPr>
        <w:t xml:space="preserve">Ação </w:t>
      </w:r>
      <w:r>
        <w:rPr>
          <w:b/>
          <w:i/>
          <w:sz w:val="24"/>
          <w:szCs w:val="24"/>
        </w:rPr>
        <w:t>c</w:t>
      </w:r>
      <w:r w:rsidRPr="00EA7183">
        <w:rPr>
          <w:b/>
          <w:i/>
          <w:sz w:val="24"/>
          <w:szCs w:val="24"/>
        </w:rPr>
        <w:t xml:space="preserve">ivil </w:t>
      </w:r>
      <w:r>
        <w:rPr>
          <w:b/>
          <w:i/>
          <w:sz w:val="24"/>
          <w:szCs w:val="24"/>
        </w:rPr>
        <w:t>p</w:t>
      </w:r>
      <w:r w:rsidRPr="00EA7183">
        <w:rPr>
          <w:b/>
          <w:i/>
          <w:sz w:val="24"/>
          <w:szCs w:val="24"/>
        </w:rPr>
        <w:t>ública</w:t>
      </w:r>
      <w:r>
        <w:rPr>
          <w:b/>
          <w:i/>
          <w:sz w:val="24"/>
          <w:szCs w:val="24"/>
        </w:rPr>
        <w:t>.</w:t>
      </w:r>
      <w:r w:rsidRPr="00EA718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</w:t>
      </w:r>
      <w:r w:rsidRPr="000148E0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eitos da sentença. Alcance territorial. Inciso </w:t>
      </w:r>
      <w:r w:rsidRPr="000148E0">
        <w:rPr>
          <w:b/>
          <w:i/>
          <w:sz w:val="24"/>
          <w:szCs w:val="24"/>
        </w:rPr>
        <w:t xml:space="preserve">II do art. 103 do </w:t>
      </w:r>
      <w:r>
        <w:rPr>
          <w:b/>
          <w:i/>
          <w:sz w:val="24"/>
          <w:szCs w:val="24"/>
        </w:rPr>
        <w:t>CDC.</w:t>
      </w:r>
      <w:r w:rsidRPr="000148E0">
        <w:rPr>
          <w:b/>
          <w:i/>
          <w:sz w:val="24"/>
          <w:szCs w:val="24"/>
        </w:rPr>
        <w:t xml:space="preserve"> </w:t>
      </w:r>
    </w:p>
    <w:p w:rsidR="008A1A09" w:rsidRPr="00895CC6" w:rsidRDefault="008A1A09" w:rsidP="008A1A0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É possível estender a todo território nacional os efeitos da sentença proferida em ação civil pública ajuizada perante a Vara do Trabalho de Juiz de Fora/MG, visto que a eficácia da decisão se rege, sob a ótica objetiva, pelo pedido e pela causa de pedir e, sob a ótica subjetiva, pelas partes no processo. </w:t>
      </w:r>
      <w:r w:rsidRPr="00CB6FC6">
        <w:rPr>
          <w:rFonts w:ascii="Times New Roman" w:eastAsia="Calibri" w:hAnsi="Times New Roman" w:cs="Times New Roman"/>
          <w:color w:val="auto"/>
          <w:lang w:val="pt-BR" w:eastAsia="en-US"/>
        </w:rPr>
        <w:t xml:space="preserve">Sendo certo que pelo alcance da lesão define-se a competência para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julgamento</w:t>
      </w:r>
      <w:r w:rsidRPr="00CB6FC6">
        <w:rPr>
          <w:rFonts w:ascii="Times New Roman" w:eastAsia="Calibri" w:hAnsi="Times New Roman" w:cs="Times New Roman"/>
          <w:color w:val="auto"/>
          <w:lang w:val="pt-BR" w:eastAsia="en-US"/>
        </w:rPr>
        <w:t xml:space="preserve"> da ação civil pública, os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efeitos</w:t>
      </w:r>
      <w:r w:rsidRPr="00CB6FC6">
        <w:rPr>
          <w:rFonts w:ascii="Times New Roman" w:eastAsia="Calibri" w:hAnsi="Times New Roman" w:cs="Times New Roman"/>
          <w:color w:val="auto"/>
          <w:lang w:val="pt-BR" w:eastAsia="en-US"/>
        </w:rPr>
        <w:t xml:space="preserve"> da decisão proferida devem alcançar todos os interessado</w:t>
      </w:r>
      <w:r w:rsidRPr="00463269">
        <w:rPr>
          <w:rFonts w:ascii="Times New Roman" w:eastAsia="Calibri" w:hAnsi="Times New Roman" w:cs="Times New Roman"/>
          <w:color w:val="auto"/>
          <w:lang w:val="pt-BR" w:eastAsia="en-US"/>
        </w:rPr>
        <w:t>s, sob pena de haver o ajuizamento de múltiplas ações civis sobre a mesma matéria, as quais serão julgadas por juízes diversos, gerando o risco de decisões contraditórias e militando contra os princípios da economia processual e da segurança jurídica.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Assim, aplicando-se subsidiariamente a diretriz do 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 xml:space="preserve">inciso II do art. 103 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CDC,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 xml:space="preserve"> que define os efeitos </w:t>
      </w:r>
      <w:r w:rsidRPr="00463269">
        <w:rPr>
          <w:rFonts w:ascii="Times New Roman" w:eastAsia="Calibri" w:hAnsi="Times New Roman" w:cs="Times New Roman"/>
          <w:color w:val="auto"/>
          <w:lang w:val="pt-BR" w:eastAsia="en-US"/>
        </w:rPr>
        <w:t>ultra partes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da coisa julgada, 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>limitad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os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 xml:space="preserve"> ao grupo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 xml:space="preserve"> categoria ou classe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 xml:space="preserve"> q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uan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 xml:space="preserve">do se tratar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da</w:t>
      </w:r>
      <w:r w:rsidRPr="00E25728">
        <w:rPr>
          <w:rFonts w:ascii="Times New Roman" w:eastAsia="Calibri" w:hAnsi="Times New Roman" w:cs="Times New Roman"/>
          <w:color w:val="auto"/>
          <w:lang w:val="pt-BR" w:eastAsia="en-US"/>
        </w:rPr>
        <w:t xml:space="preserve"> tutela de direitos coletivos ou individuais homogêneos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a SBDI-I decidiu, por maioria, </w:t>
      </w:r>
      <w:r w:rsidRPr="00DE7426">
        <w:rPr>
          <w:rFonts w:ascii="Times New Roman" w:eastAsia="Calibri" w:hAnsi="Times New Roman" w:cs="Times New Roman"/>
          <w:color w:val="auto"/>
          <w:lang w:val="pt-BR" w:eastAsia="en-US"/>
        </w:rPr>
        <w:t xml:space="preserve">vencido o Ministro Antônio José de Barros Levenhagen, conhecer do recurso de embargos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interposto pelo</w:t>
      </w:r>
      <w:r w:rsidRPr="00DE7426">
        <w:rPr>
          <w:rFonts w:ascii="Times New Roman" w:eastAsia="Calibri" w:hAnsi="Times New Roman" w:cs="Times New Roman"/>
          <w:color w:val="auto"/>
          <w:lang w:val="pt-BR" w:eastAsia="en-US"/>
        </w:rPr>
        <w:t xml:space="preserve"> Ministério Público do Trabalho, por divergência jurisprudencial e, no mérito, ainda por maioria,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vencidos os Ministros </w:t>
      </w:r>
      <w:r w:rsidRPr="00DE7426">
        <w:rPr>
          <w:rFonts w:ascii="Times New Roman" w:eastAsia="Calibri" w:hAnsi="Times New Roman" w:cs="Times New Roman"/>
          <w:color w:val="auto"/>
          <w:lang w:val="pt-BR" w:eastAsia="en-US"/>
        </w:rPr>
        <w:t>Carlos Alberto Reis de Paula, relator, e An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tônio José de Barros Levenhagen,</w:t>
      </w:r>
      <w:r w:rsidRPr="00DE7426">
        <w:rPr>
          <w:rFonts w:ascii="Times New Roman" w:eastAsia="Calibri" w:hAnsi="Times New Roman" w:cs="Times New Roman"/>
          <w:color w:val="auto"/>
          <w:lang w:val="pt-BR" w:eastAsia="en-US"/>
        </w:rPr>
        <w:t xml:space="preserve"> dar-lhe provimento para restabelecer o acórdão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do R</w:t>
      </w:r>
      <w:r w:rsidRPr="00DE7426">
        <w:rPr>
          <w:rFonts w:ascii="Times New Roman" w:eastAsia="Calibri" w:hAnsi="Times New Roman" w:cs="Times New Roman"/>
          <w:color w:val="auto"/>
          <w:lang w:val="pt-BR" w:eastAsia="en-US"/>
        </w:rPr>
        <w:t>egional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que estendeu aos estabelecimentos do banco reclamando em todo o território nacional os efeitos da coisa julgada oriunda da sentença proferida pela Vara do Trabalho de Juiz de Fora/MG</w:t>
      </w:r>
      <w:r w:rsidRPr="00DE7426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Na espécie, postulou o MPT que o Banco Santander Banespa S.A. implementasse o Programa de Controle Médico Ocupacional, consignasse corretamente o registro dos horários de trabalho de seus empregados, concedesse intervalos intra e interjornadas, procedesse ao pagamento integral das horas extras devidas e se abstivesse de prorroga-las além do permitido em lei. </w:t>
      </w:r>
      <w:hyperlink r:id="rId12" w:history="1">
        <w:r w:rsidRPr="008A1A09">
          <w:rPr>
            <w:rStyle w:val="Hyperlink"/>
            <w:rFonts w:ascii="Times New Roman" w:hAnsi="Times New Roman" w:cs="Courier New"/>
            <w:lang w:val="pt-BR"/>
          </w:rPr>
          <w:t>TST-E-ED-RR-32500-</w:t>
        </w:r>
        <w:r w:rsidRPr="008A1A09">
          <w:rPr>
            <w:rStyle w:val="Hyperlink"/>
            <w:rFonts w:ascii="Times New Roman" w:hAnsi="Times New Roman" w:cs="Courier New"/>
            <w:lang w:val="pt-BR"/>
          </w:rPr>
          <w:lastRenderedPageBreak/>
          <w:t>65.2006.5.03.0143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</w:t>
      </w:r>
      <w:r>
        <w:rPr>
          <w:rFonts w:ascii="Times New Roman" w:hAnsi="Times New Roman"/>
          <w:u w:val="single"/>
          <w:lang w:val="pt-BR"/>
        </w:rPr>
        <w:t xml:space="preserve">rel. Min. Carlos Alberto Reis de Paula, </w:t>
      </w:r>
      <w:r w:rsidRPr="00895CC6">
        <w:rPr>
          <w:rFonts w:ascii="Times New Roman" w:hAnsi="Times New Roman"/>
          <w:u w:val="single"/>
          <w:lang w:val="pt-BR"/>
        </w:rPr>
        <w:t>re</w:t>
      </w:r>
      <w:r>
        <w:rPr>
          <w:rFonts w:ascii="Times New Roman" w:hAnsi="Times New Roman"/>
          <w:u w:val="single"/>
          <w:lang w:val="pt-BR"/>
        </w:rPr>
        <w:t>d</w:t>
      </w:r>
      <w:r w:rsidRPr="00895CC6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 xml:space="preserve"> p/ acórdão</w:t>
      </w:r>
      <w:r w:rsidRPr="00895CC6">
        <w:rPr>
          <w:rFonts w:ascii="Times New Roman" w:hAnsi="Times New Roman"/>
          <w:u w:val="single"/>
          <w:lang w:val="pt-BR"/>
        </w:rPr>
        <w:t xml:space="preserve"> Min. </w:t>
      </w:r>
      <w:r>
        <w:rPr>
          <w:rFonts w:ascii="Times New Roman" w:hAnsi="Times New Roman"/>
          <w:u w:val="single"/>
          <w:lang w:val="pt-BR"/>
        </w:rPr>
        <w:t>Lelio Bentes Corrêa</w:t>
      </w:r>
      <w:r w:rsidRPr="00895CC6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3.4.2014</w:t>
      </w: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Pr="005D1DE4" w:rsidRDefault="00592445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912CF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992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75" w:rsidRDefault="00DE1E75">
      <w:r>
        <w:separator/>
      </w:r>
    </w:p>
  </w:endnote>
  <w:endnote w:type="continuationSeparator" w:id="0">
    <w:p w:rsidR="00DE1E75" w:rsidRDefault="00D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74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30742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75" w:rsidRDefault="00DE1E75">
      <w:r>
        <w:separator/>
      </w:r>
    </w:p>
  </w:footnote>
  <w:footnote w:type="continuationSeparator" w:id="0">
    <w:p w:rsidR="00DE1E75" w:rsidRDefault="00DE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02C7C">
      <w:rPr>
        <w:shadow/>
        <w:sz w:val="24"/>
        <w:szCs w:val="24"/>
      </w:rPr>
      <w:t>7</w:t>
    </w:r>
    <w:r w:rsidR="008A1A09">
      <w:rPr>
        <w:shadow/>
        <w:sz w:val="24"/>
        <w:szCs w:val="24"/>
      </w:rPr>
      <w:t>8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8A1A09">
      <w:rPr>
        <w:sz w:val="20"/>
        <w:szCs w:val="20"/>
      </w:rPr>
      <w:t xml:space="preserve">1º a 7 de abril </w:t>
    </w:r>
    <w:r w:rsidR="00FE00AD" w:rsidRPr="00971E07">
      <w:rPr>
        <w:sz w:val="20"/>
        <w:szCs w:val="20"/>
      </w:rPr>
      <w:t>de 20</w:t>
    </w:r>
    <w:r w:rsidR="00E16E01" w:rsidRPr="00971E07">
      <w:rPr>
        <w:sz w:val="20"/>
        <w:szCs w:val="20"/>
      </w:rPr>
      <w:t>1</w:t>
    </w:r>
    <w:r w:rsidR="00102C7C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Default="00A51749" w:rsidP="00592445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102C7C">
      <w:rPr>
        <w:b/>
        <w:sz w:val="40"/>
        <w:szCs w:val="40"/>
      </w:rPr>
      <w:t>7</w:t>
    </w:r>
    <w:r w:rsidR="008A1A09">
      <w:rPr>
        <w:b/>
        <w:sz w:val="40"/>
        <w:szCs w:val="40"/>
      </w:rPr>
      <w:t>8</w:t>
    </w:r>
  </w:p>
  <w:p w:rsidR="00592445" w:rsidRPr="005D1DE4" w:rsidRDefault="00592445" w:rsidP="00592445">
    <w:pPr>
      <w:pStyle w:val="Cabealho"/>
      <w:tabs>
        <w:tab w:val="clear" w:pos="4419"/>
        <w:tab w:val="clear" w:pos="8838"/>
        <w:tab w:val="left" w:pos="2793"/>
      </w:tabs>
      <w:jc w:val="right"/>
      <w:rPr>
        <w:i/>
        <w:iCs/>
        <w:sz w:val="10"/>
        <w:szCs w:val="10"/>
      </w:rPr>
    </w:pPr>
  </w:p>
  <w:p w:rsidR="00FE00AD" w:rsidRPr="005D1DE4" w:rsidRDefault="00912CF7">
    <w:pPr>
      <w:pStyle w:val="Cabealho"/>
      <w:jc w:val="right"/>
    </w:pPr>
    <w:r>
      <w:rPr>
        <w:i/>
        <w:iCs/>
      </w:rPr>
      <w:t xml:space="preserve">Período: </w:t>
    </w:r>
    <w:r w:rsidR="008A1A09">
      <w:rPr>
        <w:i/>
        <w:iCs/>
      </w:rPr>
      <w:t xml:space="preserve">1º </w:t>
    </w:r>
    <w:r w:rsidR="00ED36FF">
      <w:rPr>
        <w:i/>
        <w:iCs/>
      </w:rPr>
      <w:t>a</w:t>
    </w:r>
    <w:r w:rsidR="008A1A09">
      <w:rPr>
        <w:i/>
        <w:iCs/>
      </w:rPr>
      <w:t xml:space="preserve"> 7</w:t>
    </w:r>
    <w:r w:rsidR="00ED36FF">
      <w:rPr>
        <w:i/>
        <w:iCs/>
      </w:rPr>
      <w:t xml:space="preserve"> de </w:t>
    </w:r>
    <w:r w:rsidR="008A1A09">
      <w:rPr>
        <w:i/>
        <w:iCs/>
      </w:rPr>
      <w:t>abril</w:t>
    </w:r>
    <w:r w:rsidR="00102C7C">
      <w:rPr>
        <w:i/>
        <w:iCs/>
      </w:rPr>
      <w:t xml:space="preserve"> </w:t>
    </w:r>
    <w:r w:rsidR="00FE00AD" w:rsidRPr="005D1DE4">
      <w:rPr>
        <w:i/>
        <w:iCs/>
      </w:rPr>
      <w:t>de 201</w:t>
    </w:r>
    <w:r w:rsidR="00102C7C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468D0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0E2685"/>
    <w:rsid w:val="00102302"/>
    <w:rsid w:val="00102C7C"/>
    <w:rsid w:val="0011575C"/>
    <w:rsid w:val="0011692E"/>
    <w:rsid w:val="00130742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1C66"/>
    <w:rsid w:val="00224AC2"/>
    <w:rsid w:val="0023559D"/>
    <w:rsid w:val="002402B0"/>
    <w:rsid w:val="002449F9"/>
    <w:rsid w:val="002635ED"/>
    <w:rsid w:val="00265D70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D463A"/>
    <w:rsid w:val="003F2078"/>
    <w:rsid w:val="0042772A"/>
    <w:rsid w:val="004323B0"/>
    <w:rsid w:val="00432443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3A48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92445"/>
    <w:rsid w:val="005A5695"/>
    <w:rsid w:val="005B2F00"/>
    <w:rsid w:val="005B57DE"/>
    <w:rsid w:val="005B74C2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48C"/>
    <w:rsid w:val="00615F98"/>
    <w:rsid w:val="00621F9C"/>
    <w:rsid w:val="00631166"/>
    <w:rsid w:val="00631F1C"/>
    <w:rsid w:val="006366A4"/>
    <w:rsid w:val="006456B1"/>
    <w:rsid w:val="00653027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13EBF"/>
    <w:rsid w:val="00721942"/>
    <w:rsid w:val="00722BE7"/>
    <w:rsid w:val="00732DF2"/>
    <w:rsid w:val="007614F1"/>
    <w:rsid w:val="007618C5"/>
    <w:rsid w:val="00764066"/>
    <w:rsid w:val="00776118"/>
    <w:rsid w:val="007B04F9"/>
    <w:rsid w:val="007B0F83"/>
    <w:rsid w:val="007B30D2"/>
    <w:rsid w:val="007C275A"/>
    <w:rsid w:val="007C7272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2A98"/>
    <w:rsid w:val="008842D0"/>
    <w:rsid w:val="00884AC4"/>
    <w:rsid w:val="0088579D"/>
    <w:rsid w:val="008A1A09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12CF7"/>
    <w:rsid w:val="0093467A"/>
    <w:rsid w:val="0094155C"/>
    <w:rsid w:val="00951531"/>
    <w:rsid w:val="00960A3B"/>
    <w:rsid w:val="00967DE0"/>
    <w:rsid w:val="00971E07"/>
    <w:rsid w:val="00980944"/>
    <w:rsid w:val="009857BB"/>
    <w:rsid w:val="00985818"/>
    <w:rsid w:val="00986D77"/>
    <w:rsid w:val="009943EC"/>
    <w:rsid w:val="009A32D5"/>
    <w:rsid w:val="009B6012"/>
    <w:rsid w:val="009C102D"/>
    <w:rsid w:val="009C2A4F"/>
    <w:rsid w:val="009D2B61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64325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3380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A3C3D"/>
    <w:rsid w:val="00CB0C2A"/>
    <w:rsid w:val="00CB23A5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58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1E75"/>
    <w:rsid w:val="00DE5B2D"/>
    <w:rsid w:val="00DE5CE9"/>
    <w:rsid w:val="00E03064"/>
    <w:rsid w:val="00E04BD5"/>
    <w:rsid w:val="00E05A28"/>
    <w:rsid w:val="00E070D2"/>
    <w:rsid w:val="00E1539C"/>
    <w:rsid w:val="00E162B6"/>
    <w:rsid w:val="00E16E01"/>
    <w:rsid w:val="00E231D0"/>
    <w:rsid w:val="00E24A50"/>
    <w:rsid w:val="00E27F74"/>
    <w:rsid w:val="00E35639"/>
    <w:rsid w:val="00E432CC"/>
    <w:rsid w:val="00E50711"/>
    <w:rsid w:val="00E60EDA"/>
    <w:rsid w:val="00E62BBC"/>
    <w:rsid w:val="00E715CD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36FF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2CB6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CorpoChar1">
    <w:name w:val="Corpo Char1"/>
    <w:uiPriority w:val="99"/>
    <w:locked/>
    <w:rsid w:val="007C7272"/>
    <w:rPr>
      <w:rFonts w:ascii="Courier New" w:eastAsia="Times New Roman" w:hAnsi="Courier New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226400&amp;digitoTst=86&amp;anoTst=1991&amp;orgaoTst=5&amp;tribunalTst=17&amp;varaTst=000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32500&amp;digitoTst=65&amp;anoTst=2006&amp;orgaoTst=5&amp;tribunalTst=03&amp;varaTst=01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35200&amp;digitoTst=69&amp;anoTst=2006&amp;orgaoTst=5&amp;tribunalTst=02&amp;varaTst=00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licacao5.tst.jus.br/consultaProcessual/consultaTstNumUnica.do?consulta=Consultar&amp;conscsjt=&amp;numeroTst=1940&amp;digitoTst=61&amp;anoTst=2010&amp;orgaoTst=5&amp;tribunalTst=06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011&amp;digitoTst=92&amp;anoTst=2011&amp;orgaoTst=5&amp;tribunalTst=03&amp;varaTst=005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0ECE-312B-42E9-BDE9-9A818AB5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9356</CharactersWithSpaces>
  <SharedDoc>false</SharedDoc>
  <HLinks>
    <vt:vector size="30" baseType="variant">
      <vt:variant>
        <vt:i4>1376258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https://aplicacao5.tst.jus.br/consultaProcessual/consultaTstNumUnica.do?consulta=Consultar&amp;conscsjt=&amp;numeroTst=32500&amp;digitoTst=65&amp;anoTst=2006&amp;orgaoTst=5&amp;tribunalTst=03&amp;varaTst=0143</vt:lpwstr>
      </vt:variant>
      <vt:variant>
        <vt:lpwstr/>
      </vt:variant>
      <vt:variant>
        <vt:i4>1638410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https://aplicacao5.tst.jus.br/consultaProcessual/consultaTstNumUnica.do?consulta=Consultar&amp;conscsjt=&amp;numeroTst=35200&amp;digitoTst=69&amp;anoTst=2006&amp;orgaoTst=5&amp;tribunalTst=02&amp;varaTst=0069</vt:lpwstr>
      </vt:variant>
      <vt:variant>
        <vt:lpwstr/>
      </vt:variant>
      <vt:variant>
        <vt:i4>6881398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https://aplicacao5.tst.jus.br/consultaProcessual/consultaTstNumUnica.do?consulta=Consultar&amp;conscsjt=&amp;numeroTst=1940&amp;digitoTst=61&amp;anoTst=2010&amp;orgaoTst=5&amp;tribunalTst=06&amp;varaTst=0000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https://aplicacao5.tst.jus.br/consultaProcessual/consultaTstNumUnica.do?consulta=Consultar&amp;conscsjt=&amp;numeroTst=1011&amp;digitoTst=92&amp;anoTst=2011&amp;orgaoTst=5&amp;tribunalTst=03&amp;varaTst=0059</vt:lpwstr>
      </vt:variant>
      <vt:variant>
        <vt:lpwstr/>
      </vt:variant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https://aplicacao5.tst.jus.br/consultaProcessual/consultaTstNumUnica.do?consulta=Consultar&amp;conscsjt=&amp;numeroTst=226400&amp;digitoTst=86&amp;anoTst=1991&amp;orgaoTst=5&amp;tribunalTst=17&amp;varaTst=0001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2014-04-01T19:08:00Z</cp:lastPrinted>
  <dcterms:created xsi:type="dcterms:W3CDTF">2018-06-27T21:47:00Z</dcterms:created>
  <dcterms:modified xsi:type="dcterms:W3CDTF">2018-06-27T21:47:00Z</dcterms:modified>
</cp:coreProperties>
</file>