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7C7272" w:rsidRPr="00971E07" w:rsidRDefault="00631F1C" w:rsidP="007C7272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7C7272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7C7272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="007C7272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7C7272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7C7272" w:rsidRPr="00592445" w:rsidRDefault="007C7272" w:rsidP="00912CF7">
      <w:pPr>
        <w:jc w:val="both"/>
        <w:rPr>
          <w:u w:val="single"/>
        </w:rPr>
      </w:pPr>
    </w:p>
    <w:p w:rsidR="00592445" w:rsidRPr="00895CC6" w:rsidRDefault="00592445" w:rsidP="0059244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</w:t>
      </w:r>
      <w:r w:rsidRPr="00D6622C">
        <w:rPr>
          <w:b/>
          <w:i/>
          <w:sz w:val="24"/>
          <w:szCs w:val="24"/>
        </w:rPr>
        <w:t>mbargos de declaração. Desistência.</w:t>
      </w:r>
      <w:r>
        <w:rPr>
          <w:b/>
          <w:i/>
          <w:sz w:val="24"/>
          <w:szCs w:val="24"/>
        </w:rPr>
        <w:t xml:space="preserve"> I</w:t>
      </w:r>
      <w:r w:rsidRPr="00D6622C">
        <w:rPr>
          <w:b/>
          <w:i/>
          <w:sz w:val="24"/>
          <w:szCs w:val="24"/>
        </w:rPr>
        <w:t xml:space="preserve">nterrupção do prazo para </w:t>
      </w:r>
      <w:r>
        <w:rPr>
          <w:b/>
          <w:i/>
          <w:sz w:val="24"/>
          <w:szCs w:val="24"/>
        </w:rPr>
        <w:t>interposição de outros recursos. Recontagem do prazo a partir da ciência da homologação da desistência.</w:t>
      </w:r>
    </w:p>
    <w:p w:rsidR="00592445" w:rsidRDefault="00592445" w:rsidP="00592445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hAnsi="Times New Roman"/>
          <w:lang w:val="pt-BR"/>
        </w:rPr>
        <w:t xml:space="preserve">A oposição de embargos de declaração tempestivos e regulares interrompe o prazo para interposição de outro recurso, ainda que haja a posterior desistência dos declaratórios, devendo o prazo ser recontado </w:t>
      </w:r>
      <w:r w:rsidRPr="00D6622C">
        <w:rPr>
          <w:rFonts w:ascii="Times New Roman" w:hAnsi="Times New Roman"/>
          <w:lang w:val="pt-BR"/>
        </w:rPr>
        <w:t>a partir da ciência</w:t>
      </w:r>
      <w:r>
        <w:rPr>
          <w:rFonts w:ascii="Times New Roman" w:hAnsi="Times New Roman"/>
          <w:lang w:val="pt-BR"/>
        </w:rPr>
        <w:t>,</w:t>
      </w:r>
      <w:r w:rsidRPr="00D6622C">
        <w:rPr>
          <w:rFonts w:ascii="Times New Roman" w:hAnsi="Times New Roman"/>
          <w:lang w:val="pt-BR"/>
        </w:rPr>
        <w:t xml:space="preserve"> pela parte </w:t>
      </w:r>
      <w:r>
        <w:rPr>
          <w:rFonts w:ascii="Times New Roman" w:hAnsi="Times New Roman"/>
          <w:lang w:val="pt-BR"/>
        </w:rPr>
        <w:t>contrária,</w:t>
      </w:r>
      <w:r w:rsidRPr="00D6622C">
        <w:rPr>
          <w:rFonts w:ascii="Times New Roman" w:hAnsi="Times New Roman"/>
          <w:lang w:val="pt-BR"/>
        </w:rPr>
        <w:t xml:space="preserve"> da homologação da desistência.</w:t>
      </w:r>
      <w:r>
        <w:rPr>
          <w:rFonts w:ascii="Times New Roman" w:hAnsi="Times New Roman"/>
          <w:lang w:val="pt-BR"/>
        </w:rPr>
        <w:t xml:space="preserve"> </w:t>
      </w:r>
      <w:r w:rsidRPr="00D6622C">
        <w:rPr>
          <w:rFonts w:ascii="Times New Roman" w:hAnsi="Times New Roman"/>
          <w:lang w:val="pt-BR"/>
        </w:rPr>
        <w:t>Com base nesse entendimento, a S</w:t>
      </w:r>
      <w:r>
        <w:rPr>
          <w:rFonts w:ascii="Times New Roman" w:hAnsi="Times New Roman"/>
          <w:lang w:val="pt-BR"/>
        </w:rPr>
        <w:t>BDI-I</w:t>
      </w:r>
      <w:r w:rsidRPr="00D6622C">
        <w:rPr>
          <w:rFonts w:ascii="Times New Roman" w:hAnsi="Times New Roman"/>
          <w:lang w:val="pt-BR"/>
        </w:rPr>
        <w:t xml:space="preserve"> decidiu</w:t>
      </w:r>
      <w:r>
        <w:rPr>
          <w:rFonts w:ascii="Times New Roman" w:hAnsi="Times New Roman"/>
          <w:lang w:val="pt-BR"/>
        </w:rPr>
        <w:t xml:space="preserve">, por unanimidade, conhecer dos </w:t>
      </w:r>
      <w:r w:rsidRPr="00D6622C">
        <w:rPr>
          <w:rFonts w:ascii="Times New Roman" w:hAnsi="Times New Roman"/>
          <w:lang w:val="pt-BR"/>
        </w:rPr>
        <w:t>embargos</w:t>
      </w:r>
      <w:r>
        <w:rPr>
          <w:rFonts w:ascii="Times New Roman" w:hAnsi="Times New Roman"/>
          <w:lang w:val="pt-BR"/>
        </w:rPr>
        <w:t xml:space="preserve"> interpostos pela reclamada,</w:t>
      </w:r>
      <w:r w:rsidRPr="00D6622C">
        <w:rPr>
          <w:rFonts w:ascii="Times New Roman" w:hAnsi="Times New Roman"/>
          <w:lang w:val="pt-BR"/>
        </w:rPr>
        <w:t xml:space="preserve"> por divergência jurisprudencial e, no mérito, por maioria, dar-lhe</w:t>
      </w:r>
      <w:r>
        <w:rPr>
          <w:rFonts w:ascii="Times New Roman" w:hAnsi="Times New Roman"/>
          <w:lang w:val="pt-BR"/>
        </w:rPr>
        <w:t>s</w:t>
      </w:r>
      <w:r w:rsidRPr="00D6622C">
        <w:rPr>
          <w:rFonts w:ascii="Times New Roman" w:hAnsi="Times New Roman"/>
          <w:lang w:val="pt-BR"/>
        </w:rPr>
        <w:t xml:space="preserve"> provimento para, afastada a intempestividade, determinar o retorno dos autos ao T</w:t>
      </w:r>
      <w:r>
        <w:rPr>
          <w:rFonts w:ascii="Times New Roman" w:hAnsi="Times New Roman"/>
          <w:lang w:val="pt-BR"/>
        </w:rPr>
        <w:t xml:space="preserve">RT </w:t>
      </w:r>
      <w:r w:rsidRPr="00D6622C">
        <w:rPr>
          <w:rFonts w:ascii="Times New Roman" w:hAnsi="Times New Roman"/>
          <w:lang w:val="pt-BR"/>
        </w:rPr>
        <w:t xml:space="preserve">de origem a fim de que julgue o </w:t>
      </w:r>
      <w:r>
        <w:rPr>
          <w:rFonts w:ascii="Times New Roman" w:hAnsi="Times New Roman"/>
          <w:lang w:val="pt-BR"/>
        </w:rPr>
        <w:t>recurso ordinário, como entender de direito</w:t>
      </w:r>
      <w:r w:rsidRPr="00895CC6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>
        <w:rPr>
          <w:rFonts w:ascii="Times New Roman" w:hAnsi="Times New Roman"/>
          <w:lang w:val="pt-BR"/>
        </w:rPr>
        <w:t>V</w:t>
      </w:r>
      <w:r w:rsidRPr="00D6622C">
        <w:rPr>
          <w:rFonts w:ascii="Times New Roman" w:hAnsi="Times New Roman"/>
          <w:lang w:val="pt-BR"/>
        </w:rPr>
        <w:t xml:space="preserve">encidos os Ministros Dora Maria da Costa, relatora, e Luiz Philippe Vieira de Mello Filho, </w:t>
      </w:r>
      <w:r>
        <w:rPr>
          <w:rFonts w:ascii="Times New Roman" w:hAnsi="Times New Roman"/>
          <w:lang w:val="pt-BR"/>
        </w:rPr>
        <w:t xml:space="preserve">os quais negavam provimento ao apelo ao fundamento de que os embargos de declaração deixam de existir quando a parte dele desiste, não podendo, portanto, produzir qualquer efeito jurídico, inclusive a interrupção do prazo para a interposição de outros recursos. </w:t>
      </w:r>
      <w:hyperlink r:id="rId8" w:history="1">
        <w:r w:rsidRPr="00592445">
          <w:rPr>
            <w:rStyle w:val="Hyperlink"/>
            <w:rFonts w:ascii="Times New Roman" w:hAnsi="Times New Roman" w:cs="Courier New"/>
            <w:lang w:val="pt-BR"/>
          </w:rPr>
          <w:t>TST-E-RR-223200-17.2009.5.12.0054</w:t>
        </w:r>
      </w:hyperlink>
      <w:r w:rsidRPr="00895CC6">
        <w:rPr>
          <w:rFonts w:ascii="Times New Roman" w:hAnsi="Times New Roman"/>
          <w:u w:val="single"/>
          <w:lang w:val="pt-BR"/>
        </w:rPr>
        <w:t xml:space="preserve">, SBDI-I, </w:t>
      </w:r>
      <w:r>
        <w:rPr>
          <w:rFonts w:ascii="Times New Roman" w:hAnsi="Times New Roman"/>
          <w:u w:val="single"/>
          <w:lang w:val="pt-BR"/>
        </w:rPr>
        <w:t xml:space="preserve">rel. Min. Dora Maria da Costa, </w:t>
      </w:r>
      <w:r w:rsidRPr="00895CC6">
        <w:rPr>
          <w:rFonts w:ascii="Times New Roman" w:hAnsi="Times New Roman"/>
          <w:u w:val="single"/>
          <w:lang w:val="pt-BR"/>
        </w:rPr>
        <w:t>re</w:t>
      </w:r>
      <w:r>
        <w:rPr>
          <w:rFonts w:ascii="Times New Roman" w:hAnsi="Times New Roman"/>
          <w:u w:val="single"/>
          <w:lang w:val="pt-BR"/>
        </w:rPr>
        <w:t>d</w:t>
      </w:r>
      <w:r w:rsidRPr="00895CC6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 xml:space="preserve"> p/ acórdão</w:t>
      </w:r>
      <w:r w:rsidRPr="00895CC6">
        <w:rPr>
          <w:rFonts w:ascii="Times New Roman" w:hAnsi="Times New Roman"/>
          <w:u w:val="single"/>
          <w:lang w:val="pt-BR"/>
        </w:rPr>
        <w:t xml:space="preserve"> </w:t>
      </w:r>
      <w:r w:rsidRPr="00D6622C">
        <w:rPr>
          <w:rFonts w:ascii="Times New Roman" w:hAnsi="Times New Roman"/>
          <w:u w:val="single"/>
          <w:lang w:val="pt-BR"/>
        </w:rPr>
        <w:t>Min.</w:t>
      </w:r>
      <w:r w:rsidRPr="00895CC6">
        <w:rPr>
          <w:rFonts w:ascii="Times New Roman" w:hAnsi="Times New Roman"/>
          <w:u w:val="single"/>
          <w:lang w:val="pt-BR"/>
        </w:rPr>
        <w:t xml:space="preserve"> Aloysio Corrêa da Veiga, </w:t>
      </w:r>
      <w:r>
        <w:rPr>
          <w:rFonts w:ascii="Times New Roman" w:hAnsi="Times New Roman"/>
          <w:u w:val="single"/>
          <w:lang w:val="pt-BR"/>
        </w:rPr>
        <w:t>27.3.2014</w:t>
      </w:r>
    </w:p>
    <w:p w:rsidR="00592445" w:rsidRPr="00592445" w:rsidRDefault="00592445" w:rsidP="00592445">
      <w:pPr>
        <w:jc w:val="both"/>
        <w:rPr>
          <w:b/>
          <w:i/>
        </w:rPr>
      </w:pPr>
    </w:p>
    <w:p w:rsidR="00592445" w:rsidRDefault="00592445" w:rsidP="00592445">
      <w:pPr>
        <w:jc w:val="both"/>
        <w:rPr>
          <w:b/>
          <w:i/>
          <w:sz w:val="24"/>
          <w:szCs w:val="24"/>
        </w:rPr>
      </w:pPr>
      <w:r w:rsidRPr="00F6648D">
        <w:rPr>
          <w:b/>
          <w:i/>
          <w:sz w:val="24"/>
          <w:szCs w:val="24"/>
        </w:rPr>
        <w:t xml:space="preserve">Embargos. Conhecimento. </w:t>
      </w:r>
      <w:r>
        <w:rPr>
          <w:b/>
          <w:i/>
          <w:sz w:val="24"/>
          <w:szCs w:val="24"/>
        </w:rPr>
        <w:t xml:space="preserve">Má aplicação de súmula ou orientação jurisprudencial cancelada ou com redação modificada, mas vigente à época da interposição do recurso. Possibilidade. </w:t>
      </w:r>
    </w:p>
    <w:p w:rsidR="00592445" w:rsidRPr="0019574A" w:rsidRDefault="00592445" w:rsidP="00592445">
      <w:pPr>
        <w:jc w:val="both"/>
      </w:pPr>
      <w:r>
        <w:rPr>
          <w:sz w:val="24"/>
          <w:szCs w:val="24"/>
        </w:rPr>
        <w:t>É possível o</w:t>
      </w:r>
      <w:r w:rsidRPr="003E4896">
        <w:rPr>
          <w:sz w:val="24"/>
          <w:szCs w:val="24"/>
        </w:rPr>
        <w:t xml:space="preserve"> conhecimento de embargos pela tese de contrariedade por má aplicação de súmula ou orientação jurisprudencial já cancelada ou com redação modificada, mas que se encontrava vigente à época da interposição do </w:t>
      </w:r>
      <w:r>
        <w:rPr>
          <w:sz w:val="24"/>
          <w:szCs w:val="24"/>
        </w:rPr>
        <w:t>recurso</w:t>
      </w:r>
      <w:r w:rsidRPr="003E48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4325">
        <w:rPr>
          <w:sz w:val="24"/>
          <w:szCs w:val="24"/>
        </w:rPr>
        <w:t xml:space="preserve">Assim, </w:t>
      </w:r>
      <w:r>
        <w:rPr>
          <w:sz w:val="24"/>
          <w:szCs w:val="24"/>
        </w:rPr>
        <w:t xml:space="preserve">havendo demonstração de contrariedade </w:t>
      </w:r>
      <w:r w:rsidRPr="003E4896">
        <w:rPr>
          <w:sz w:val="24"/>
          <w:szCs w:val="24"/>
        </w:rPr>
        <w:t>à redação</w:t>
      </w:r>
      <w:r>
        <w:rPr>
          <w:sz w:val="24"/>
          <w:szCs w:val="24"/>
        </w:rPr>
        <w:t xml:space="preserve"> do verbete</w:t>
      </w:r>
      <w:r w:rsidRPr="003E4896">
        <w:rPr>
          <w:sz w:val="24"/>
          <w:szCs w:val="24"/>
        </w:rPr>
        <w:t xml:space="preserve"> então vigente</w:t>
      </w:r>
      <w:r>
        <w:rPr>
          <w:sz w:val="24"/>
          <w:szCs w:val="24"/>
        </w:rPr>
        <w:t>,</w:t>
      </w:r>
      <w:r w:rsidRPr="003E4896">
        <w:rPr>
          <w:sz w:val="24"/>
          <w:szCs w:val="24"/>
        </w:rPr>
        <w:t xml:space="preserve"> considera-se configurada a divergência jurisprudencial. </w:t>
      </w:r>
      <w:r w:rsidR="00A64325">
        <w:rPr>
          <w:sz w:val="24"/>
          <w:szCs w:val="24"/>
        </w:rPr>
        <w:t>No caso concreto, entendeu-se contrariada a diretriz da Súmula nº 277</w:t>
      </w:r>
      <w:r w:rsidR="00E27F74">
        <w:rPr>
          <w:sz w:val="24"/>
          <w:szCs w:val="24"/>
        </w:rPr>
        <w:t xml:space="preserve"> do TST</w:t>
      </w:r>
      <w:r w:rsidR="00A64325">
        <w:rPr>
          <w:sz w:val="24"/>
          <w:szCs w:val="24"/>
        </w:rPr>
        <w:t xml:space="preserve"> porque </w:t>
      </w:r>
      <w:r w:rsidR="00E27F74">
        <w:rPr>
          <w:sz w:val="24"/>
          <w:szCs w:val="24"/>
        </w:rPr>
        <w:t xml:space="preserve">consignado, pelo Tribunal Regional, que </w:t>
      </w:r>
      <w:r w:rsidR="00A64325">
        <w:rPr>
          <w:sz w:val="24"/>
          <w:szCs w:val="24"/>
        </w:rPr>
        <w:t>o direito vindicado est</w:t>
      </w:r>
      <w:r w:rsidR="00E27F74">
        <w:rPr>
          <w:sz w:val="24"/>
          <w:szCs w:val="24"/>
        </w:rPr>
        <w:t>ava</w:t>
      </w:r>
      <w:r w:rsidR="00A64325">
        <w:rPr>
          <w:sz w:val="24"/>
          <w:szCs w:val="24"/>
        </w:rPr>
        <w:t xml:space="preserve"> p</w:t>
      </w:r>
      <w:r w:rsidR="00E27F74">
        <w:rPr>
          <w:sz w:val="24"/>
          <w:szCs w:val="24"/>
        </w:rPr>
        <w:t xml:space="preserve">revisto em regulamento interno da empresa e não em instrumento normativo, o que afasta a aplicação do referido verbete à hipótese. </w:t>
      </w:r>
      <w:r w:rsidRPr="003D032E">
        <w:rPr>
          <w:sz w:val="24"/>
          <w:szCs w:val="24"/>
        </w:rPr>
        <w:t xml:space="preserve">Com esse entendimento, a </w:t>
      </w:r>
      <w:r>
        <w:rPr>
          <w:sz w:val="24"/>
          <w:szCs w:val="24"/>
        </w:rPr>
        <w:t xml:space="preserve">SBDI-I, </w:t>
      </w:r>
      <w:r w:rsidRPr="00B35B90">
        <w:rPr>
          <w:sz w:val="24"/>
          <w:szCs w:val="24"/>
        </w:rPr>
        <w:t>por unanimidade, conhece</w:t>
      </w:r>
      <w:r>
        <w:rPr>
          <w:sz w:val="24"/>
          <w:szCs w:val="24"/>
        </w:rPr>
        <w:t xml:space="preserve">u dos </w:t>
      </w:r>
      <w:r w:rsidRPr="00B35B90">
        <w:rPr>
          <w:sz w:val="24"/>
          <w:szCs w:val="24"/>
        </w:rPr>
        <w:t>embargos</w:t>
      </w:r>
      <w:r>
        <w:rPr>
          <w:sz w:val="24"/>
          <w:szCs w:val="24"/>
        </w:rPr>
        <w:t xml:space="preserve"> interpostos pelo reclamante</w:t>
      </w:r>
      <w:r w:rsidRPr="00B35B90">
        <w:rPr>
          <w:sz w:val="24"/>
          <w:szCs w:val="24"/>
        </w:rPr>
        <w:t xml:space="preserve">, por divergência jurisprudencial, diante da má aplicação da Súmula </w:t>
      </w:r>
      <w:r>
        <w:rPr>
          <w:sz w:val="24"/>
          <w:szCs w:val="24"/>
        </w:rPr>
        <w:t xml:space="preserve">nº </w:t>
      </w:r>
      <w:r w:rsidRPr="00B35B90">
        <w:rPr>
          <w:sz w:val="24"/>
          <w:szCs w:val="24"/>
        </w:rPr>
        <w:t>277 do TST, consoante redação anterior do verbete</w:t>
      </w:r>
      <w:r>
        <w:rPr>
          <w:sz w:val="24"/>
          <w:szCs w:val="24"/>
        </w:rPr>
        <w:t>,</w:t>
      </w:r>
      <w:r w:rsidRPr="00B35B90">
        <w:rPr>
          <w:sz w:val="24"/>
          <w:szCs w:val="24"/>
        </w:rPr>
        <w:t xml:space="preserve"> e, no mérito, d</w:t>
      </w:r>
      <w:r>
        <w:rPr>
          <w:sz w:val="24"/>
          <w:szCs w:val="24"/>
        </w:rPr>
        <w:t>eu</w:t>
      </w:r>
      <w:r w:rsidRPr="00B35B90">
        <w:rPr>
          <w:sz w:val="24"/>
          <w:szCs w:val="24"/>
        </w:rPr>
        <w:t>-lhe</w:t>
      </w:r>
      <w:r>
        <w:rPr>
          <w:sz w:val="24"/>
          <w:szCs w:val="24"/>
        </w:rPr>
        <w:t>s</w:t>
      </w:r>
      <w:r w:rsidRPr="00B35B90">
        <w:rPr>
          <w:sz w:val="24"/>
          <w:szCs w:val="24"/>
        </w:rPr>
        <w:t xml:space="preserve"> provimento para determinar o retorno dos autos à Turma, a fim de que prossiga na apreciação das outras teses apresentadas</w:t>
      </w:r>
      <w:r>
        <w:rPr>
          <w:sz w:val="24"/>
          <w:szCs w:val="24"/>
        </w:rPr>
        <w:t xml:space="preserve"> no recurso de revista patronal</w:t>
      </w:r>
      <w:r w:rsidRPr="00B35B90">
        <w:rPr>
          <w:sz w:val="24"/>
          <w:szCs w:val="24"/>
        </w:rPr>
        <w:t>, como entender de direito.</w:t>
      </w:r>
      <w:r>
        <w:rPr>
          <w:sz w:val="24"/>
          <w:szCs w:val="24"/>
        </w:rPr>
        <w:t xml:space="preserve"> Ressalvaram entendimento os Ministros Aloysio Corrêa da Veiga, José Roberto Freire Pimenta e Alexandre de Souza Agra Belmonte.</w:t>
      </w:r>
      <w:r w:rsidRPr="003D032E">
        <w:rPr>
          <w:sz w:val="24"/>
          <w:szCs w:val="24"/>
        </w:rPr>
        <w:t xml:space="preserve"> </w:t>
      </w:r>
      <w:hyperlink r:id="rId9" w:history="1">
        <w:r w:rsidRPr="00592445">
          <w:rPr>
            <w:rStyle w:val="Hyperlink"/>
            <w:sz w:val="24"/>
          </w:rPr>
          <w:t>TST-E-ED-RR-563100-38.2007.5.09.0069</w:t>
        </w:r>
      </w:hyperlink>
      <w:r w:rsidRPr="009F3A37">
        <w:rPr>
          <w:sz w:val="24"/>
          <w:u w:val="single"/>
        </w:rPr>
        <w:t xml:space="preserve">, SBDI-I, rel. Min. Augusto César </w:t>
      </w:r>
      <w:r>
        <w:rPr>
          <w:sz w:val="24"/>
          <w:u w:val="single"/>
        </w:rPr>
        <w:t xml:space="preserve">Leite de </w:t>
      </w:r>
      <w:r w:rsidRPr="009F3A37">
        <w:rPr>
          <w:sz w:val="24"/>
          <w:u w:val="single"/>
        </w:rPr>
        <w:t>Carvalho</w:t>
      </w:r>
      <w:r>
        <w:rPr>
          <w:sz w:val="24"/>
          <w:u w:val="single"/>
        </w:rPr>
        <w:t xml:space="preserve">, </w:t>
      </w:r>
      <w:r w:rsidRPr="009F3A37">
        <w:rPr>
          <w:sz w:val="24"/>
          <w:u w:val="single"/>
        </w:rPr>
        <w:t>27.03.2014</w:t>
      </w:r>
    </w:p>
    <w:p w:rsidR="007C7272" w:rsidRPr="0061548C" w:rsidRDefault="007C7272" w:rsidP="007C7272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UBSEÇÃO I</w:t>
      </w:r>
      <w:r w:rsidR="00ED36FF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C26DFB" w:rsidRPr="00592445" w:rsidRDefault="00C26DFB">
      <w:pPr>
        <w:jc w:val="both"/>
        <w:rPr>
          <w:u w:val="single"/>
        </w:rPr>
      </w:pPr>
    </w:p>
    <w:p w:rsidR="00592445" w:rsidRDefault="00592445" w:rsidP="00592445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 w:rsidRPr="001F6E49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Mandado de segurança. Execução.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Ato judicial que determina a</w:t>
      </w:r>
      <w:r w:rsidRPr="001F6E49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transferência de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saldo remanescente</w:t>
      </w:r>
      <w:r w:rsidRPr="001F6E49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para a satisfação de execução pendente em outro juízo. Violação de direito líquido e certo. Excesso de penhora. Não configuração.</w:t>
      </w:r>
    </w:p>
    <w:p w:rsidR="00592445" w:rsidRDefault="00592445" w:rsidP="00592445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É legal o ato judicial que determina </w:t>
      </w:r>
      <w:r w:rsidRPr="008E26FD">
        <w:rPr>
          <w:rFonts w:ascii="Times New Roman" w:eastAsia="Calibri" w:hAnsi="Times New Roman" w:cs="Times New Roman"/>
          <w:color w:val="auto"/>
          <w:lang w:val="pt-BR" w:eastAsia="en-US"/>
        </w:rPr>
        <w:t xml:space="preserve">a transferência 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numerário excedente ao valor da condenação</w:t>
      </w:r>
      <w:r w:rsidRPr="008E26FD">
        <w:rPr>
          <w:rFonts w:ascii="Times New Roman" w:eastAsia="Calibri" w:hAnsi="Times New Roman" w:cs="Times New Roman"/>
          <w:color w:val="auto"/>
          <w:lang w:val="pt-BR" w:eastAsia="en-US"/>
        </w:rPr>
        <w:t xml:space="preserve"> para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satisfação de outra execução pendente em</w:t>
      </w:r>
      <w:r w:rsidRPr="008E26FD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juízo diverso do executante. No caso, prevaleceu o entendimento de que é dever do magistrado velar </w:t>
      </w:r>
      <w:r w:rsidRPr="009E4D8E">
        <w:rPr>
          <w:rFonts w:ascii="Times New Roman" w:eastAsia="Calibri" w:hAnsi="Times New Roman" w:cs="Times New Roman"/>
          <w:color w:val="auto"/>
          <w:lang w:val="pt-BR" w:eastAsia="en-US"/>
        </w:rPr>
        <w:t xml:space="preserve">pelo rápido andamento das causas e pela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efetividade da decisão judicial (art. 125, II, do CPC), bem assim colaborar</w:t>
      </w:r>
      <w:r w:rsidRPr="009E4D8E">
        <w:rPr>
          <w:rFonts w:ascii="Times New Roman" w:eastAsia="Calibri" w:hAnsi="Times New Roman" w:cs="Times New Roman"/>
          <w:color w:val="auto"/>
          <w:lang w:val="pt-BR" w:eastAsia="en-US"/>
        </w:rPr>
        <w:t xml:space="preserve"> com as demais autoridades </w:t>
      </w:r>
      <w:r w:rsidRPr="009E4D8E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judiciárias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 fim</w:t>
      </w:r>
      <w:r w:rsidRPr="009E4D8E">
        <w:rPr>
          <w:rFonts w:ascii="Times New Roman" w:eastAsia="Calibri" w:hAnsi="Times New Roman" w:cs="Times New Roman"/>
          <w:color w:val="auto"/>
          <w:lang w:val="pt-BR" w:eastAsia="en-US"/>
        </w:rPr>
        <w:t xml:space="preserve"> de viabilizar o atendimento do princípio constitucional da razoável duração do processo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Ademais, não há direito líquido e certo da impetrante em se eximir do cumprimento de obrigação imposta por sentença transitada em julgado, quando verificada a existência de quantia disponível à constrição. De outra sorte, não restou configurado excesso de penhora, visto que o saldo remanescente não fora retido pelo juiz executante, mas transferido</w:t>
      </w:r>
      <w:r w:rsidRPr="00793F36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para</w:t>
      </w:r>
      <w:r w:rsidRPr="00793F36">
        <w:rPr>
          <w:rFonts w:ascii="Times New Roman" w:eastAsia="Calibri" w:hAnsi="Times New Roman" w:cs="Times New Roman"/>
          <w:color w:val="auto"/>
          <w:lang w:val="pt-BR" w:eastAsia="en-US"/>
        </w:rPr>
        <w:t xml:space="preserve"> satisfa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zer execução pendente em outra unidade judiciária, não tendo a executada impugnado o valor da penhora em momento oportuno.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Nesse contexto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, a SBDI-I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à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unanimidade,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conheceu do recurso ordinário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e, no mérito,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por maioria, negou-lhe provimento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Vencidos os Ministros Emmanoel Pereira, relator, </w:t>
      </w:r>
      <w:r w:rsidRPr="00003E97">
        <w:rPr>
          <w:rFonts w:ascii="Times New Roman" w:eastAsia="Calibri" w:hAnsi="Times New Roman" w:cs="Times New Roman"/>
          <w:color w:val="auto"/>
          <w:lang w:val="pt-BR" w:eastAsia="en-US"/>
        </w:rPr>
        <w:t>Hugo Carlos Scheuermann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e </w:t>
      </w:r>
      <w:r w:rsidRPr="00003E97">
        <w:rPr>
          <w:rFonts w:ascii="Times New Roman" w:eastAsia="Calibri" w:hAnsi="Times New Roman" w:cs="Times New Roman"/>
          <w:color w:val="auto"/>
          <w:lang w:val="pt-BR" w:eastAsia="en-US"/>
        </w:rPr>
        <w:t>Ives Gandra da Silva Martins Filho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que davam provimento ao recurso ordinário para </w:t>
      </w:r>
      <w:r w:rsidRPr="00E42399">
        <w:rPr>
          <w:rFonts w:ascii="Times New Roman" w:eastAsia="Calibri" w:hAnsi="Times New Roman" w:cs="Times New Roman"/>
          <w:color w:val="auto"/>
          <w:lang w:val="pt-BR" w:eastAsia="en-US"/>
        </w:rPr>
        <w:t xml:space="preserve">conceder a segurança pretendida,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determinando</w:t>
      </w:r>
      <w:r w:rsidRPr="00E42399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</w:t>
      </w:r>
      <w:r w:rsidRPr="00E42399">
        <w:rPr>
          <w:rFonts w:ascii="Times New Roman" w:eastAsia="Calibri" w:hAnsi="Times New Roman" w:cs="Times New Roman"/>
          <w:color w:val="auto"/>
          <w:lang w:val="pt-BR" w:eastAsia="en-US"/>
        </w:rPr>
        <w:t xml:space="preserve"> devolução dos valores constritos em excesso de penhora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pela autoridade coatora. </w:t>
      </w:r>
      <w:hyperlink r:id="rId10" w:history="1">
        <w:r w:rsidRPr="00592445">
          <w:rPr>
            <w:rStyle w:val="Hyperlink"/>
            <w:rFonts w:ascii="Times New Roman" w:hAnsi="Times New Roman" w:cs="Courier New"/>
            <w:lang w:val="pt-BR"/>
          </w:rPr>
          <w:t>TST-RO-23100-50.2010.5.13.0000</w:t>
        </w:r>
      </w:hyperlink>
      <w:r w:rsidRPr="009C5D63">
        <w:rPr>
          <w:rFonts w:ascii="Times New Roman" w:hAnsi="Times New Roman"/>
          <w:u w:val="single"/>
          <w:lang w:val="pt-BR"/>
        </w:rPr>
        <w:t>, SBDI-I</w:t>
      </w:r>
      <w:r>
        <w:rPr>
          <w:rFonts w:ascii="Times New Roman" w:hAnsi="Times New Roman"/>
          <w:u w:val="single"/>
          <w:lang w:val="pt-BR"/>
        </w:rPr>
        <w:t>I</w:t>
      </w:r>
      <w:r w:rsidRPr="009C5D63">
        <w:rPr>
          <w:rFonts w:ascii="Times New Roman" w:hAnsi="Times New Roman"/>
          <w:u w:val="single"/>
          <w:lang w:val="pt-BR"/>
        </w:rPr>
        <w:t xml:space="preserve">, rel. Min. </w:t>
      </w:r>
      <w:r>
        <w:rPr>
          <w:rFonts w:ascii="Times New Roman" w:hAnsi="Times New Roman"/>
          <w:u w:val="single"/>
          <w:lang w:val="pt-BR"/>
        </w:rPr>
        <w:t xml:space="preserve">Emmanoel Pereira, red. p/ acórdão Min. </w:t>
      </w:r>
      <w:r w:rsidRPr="00003E97">
        <w:rPr>
          <w:rFonts w:ascii="Times New Roman" w:hAnsi="Times New Roman"/>
          <w:u w:val="single"/>
          <w:lang w:val="pt-BR"/>
        </w:rPr>
        <w:t>Cláudio Mascarenhas Brandão</w:t>
      </w:r>
      <w:r>
        <w:rPr>
          <w:rFonts w:ascii="Times New Roman" w:hAnsi="Times New Roman"/>
          <w:u w:val="single"/>
          <w:lang w:val="pt-BR"/>
        </w:rPr>
        <w:t>, 25.3.2013</w:t>
      </w:r>
    </w:p>
    <w:p w:rsidR="00C26DFB" w:rsidRDefault="00C26DFB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Default="00592445">
      <w:pPr>
        <w:jc w:val="both"/>
        <w:rPr>
          <w:sz w:val="22"/>
          <w:szCs w:val="22"/>
          <w:u w:val="single"/>
        </w:rPr>
      </w:pPr>
    </w:p>
    <w:p w:rsidR="00592445" w:rsidRPr="005D1DE4" w:rsidRDefault="00592445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912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992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D2" w:rsidRDefault="007B30D2">
      <w:r>
        <w:separator/>
      </w:r>
    </w:p>
  </w:endnote>
  <w:endnote w:type="continuationSeparator" w:id="0">
    <w:p w:rsidR="007B30D2" w:rsidRDefault="007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D0" w:rsidRDefault="00E231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544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4544D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D2" w:rsidRDefault="007B30D2">
      <w:r>
        <w:separator/>
      </w:r>
    </w:p>
  </w:footnote>
  <w:footnote w:type="continuationSeparator" w:id="0">
    <w:p w:rsidR="007B30D2" w:rsidRDefault="007B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D0" w:rsidRDefault="00E231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102C7C">
      <w:rPr>
        <w:shadow/>
        <w:sz w:val="24"/>
        <w:szCs w:val="24"/>
      </w:rPr>
      <w:t>7</w:t>
    </w:r>
    <w:r w:rsidR="00E231D0">
      <w:rPr>
        <w:shadow/>
        <w:sz w:val="24"/>
        <w:szCs w:val="24"/>
      </w:rPr>
      <w:t>7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E231D0">
      <w:rPr>
        <w:sz w:val="20"/>
        <w:szCs w:val="20"/>
      </w:rPr>
      <w:t>25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231D0">
      <w:rPr>
        <w:sz w:val="20"/>
        <w:szCs w:val="20"/>
      </w:rPr>
      <w:t>31</w:t>
    </w:r>
    <w:r w:rsidR="00ED36FF">
      <w:rPr>
        <w:sz w:val="20"/>
        <w:szCs w:val="20"/>
      </w:rPr>
      <w:t xml:space="preserve"> de março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102C7C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Default="00A51749" w:rsidP="00592445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102C7C">
      <w:rPr>
        <w:b/>
        <w:sz w:val="40"/>
        <w:szCs w:val="40"/>
      </w:rPr>
      <w:t>7</w:t>
    </w:r>
    <w:r w:rsidR="00592445">
      <w:rPr>
        <w:b/>
        <w:sz w:val="40"/>
        <w:szCs w:val="40"/>
      </w:rPr>
      <w:t>7</w:t>
    </w:r>
  </w:p>
  <w:p w:rsidR="00592445" w:rsidRPr="005D1DE4" w:rsidRDefault="00592445" w:rsidP="00592445">
    <w:pPr>
      <w:pStyle w:val="Cabealho"/>
      <w:tabs>
        <w:tab w:val="clear" w:pos="4419"/>
        <w:tab w:val="clear" w:pos="8838"/>
        <w:tab w:val="left" w:pos="2793"/>
      </w:tabs>
      <w:jc w:val="right"/>
      <w:rPr>
        <w:i/>
        <w:iCs/>
        <w:sz w:val="10"/>
        <w:szCs w:val="10"/>
      </w:rPr>
    </w:pPr>
  </w:p>
  <w:p w:rsidR="00FE00AD" w:rsidRPr="005D1DE4" w:rsidRDefault="00912CF7">
    <w:pPr>
      <w:pStyle w:val="Cabealho"/>
      <w:jc w:val="right"/>
    </w:pPr>
    <w:r>
      <w:rPr>
        <w:i/>
        <w:iCs/>
      </w:rPr>
      <w:t xml:space="preserve">Período: </w:t>
    </w:r>
    <w:r w:rsidR="00592445">
      <w:rPr>
        <w:i/>
        <w:iCs/>
      </w:rPr>
      <w:t>25</w:t>
    </w:r>
    <w:r w:rsidR="007C7272">
      <w:rPr>
        <w:i/>
        <w:iCs/>
      </w:rPr>
      <w:t xml:space="preserve"> </w:t>
    </w:r>
    <w:r w:rsidR="00ED36FF">
      <w:rPr>
        <w:i/>
        <w:iCs/>
      </w:rPr>
      <w:t xml:space="preserve">a </w:t>
    </w:r>
    <w:r w:rsidR="00592445">
      <w:rPr>
        <w:i/>
        <w:iCs/>
      </w:rPr>
      <w:t>31</w:t>
    </w:r>
    <w:r w:rsidR="00ED36FF">
      <w:rPr>
        <w:i/>
        <w:iCs/>
      </w:rPr>
      <w:t xml:space="preserve"> de março</w:t>
    </w:r>
    <w:r w:rsidR="00102C7C">
      <w:rPr>
        <w:i/>
        <w:iCs/>
      </w:rPr>
      <w:t xml:space="preserve"> </w:t>
    </w:r>
    <w:r w:rsidR="00FE00AD" w:rsidRPr="005D1DE4">
      <w:rPr>
        <w:i/>
        <w:iCs/>
      </w:rPr>
      <w:t>de 201</w:t>
    </w:r>
    <w:r w:rsidR="00102C7C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468D0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0E2685"/>
    <w:rsid w:val="00102302"/>
    <w:rsid w:val="00102C7C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1C66"/>
    <w:rsid w:val="00224AC2"/>
    <w:rsid w:val="0023559D"/>
    <w:rsid w:val="002402B0"/>
    <w:rsid w:val="002449F9"/>
    <w:rsid w:val="002635ED"/>
    <w:rsid w:val="00265D70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D463A"/>
    <w:rsid w:val="003F2078"/>
    <w:rsid w:val="0042772A"/>
    <w:rsid w:val="004323B0"/>
    <w:rsid w:val="00432443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92445"/>
    <w:rsid w:val="005A5695"/>
    <w:rsid w:val="005B2F00"/>
    <w:rsid w:val="005B57DE"/>
    <w:rsid w:val="005B74C2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48C"/>
    <w:rsid w:val="00615F98"/>
    <w:rsid w:val="00621F9C"/>
    <w:rsid w:val="00631166"/>
    <w:rsid w:val="00631F1C"/>
    <w:rsid w:val="006366A4"/>
    <w:rsid w:val="0064544D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13EBF"/>
    <w:rsid w:val="00721942"/>
    <w:rsid w:val="00722BE7"/>
    <w:rsid w:val="00732DF2"/>
    <w:rsid w:val="007614F1"/>
    <w:rsid w:val="007618C5"/>
    <w:rsid w:val="00764066"/>
    <w:rsid w:val="00776118"/>
    <w:rsid w:val="007B04F9"/>
    <w:rsid w:val="007B0F83"/>
    <w:rsid w:val="007B30D2"/>
    <w:rsid w:val="007C275A"/>
    <w:rsid w:val="007C7272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2A98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12CF7"/>
    <w:rsid w:val="0093467A"/>
    <w:rsid w:val="0094155C"/>
    <w:rsid w:val="00951531"/>
    <w:rsid w:val="00960A3B"/>
    <w:rsid w:val="00967DE0"/>
    <w:rsid w:val="00971E07"/>
    <w:rsid w:val="00980944"/>
    <w:rsid w:val="009857BB"/>
    <w:rsid w:val="00985818"/>
    <w:rsid w:val="00986D77"/>
    <w:rsid w:val="009943EC"/>
    <w:rsid w:val="009A32D5"/>
    <w:rsid w:val="009B6012"/>
    <w:rsid w:val="009C102D"/>
    <w:rsid w:val="009C2A4F"/>
    <w:rsid w:val="009D2B61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64325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3380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A3C3D"/>
    <w:rsid w:val="00CB0C2A"/>
    <w:rsid w:val="00CB23A5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58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5A28"/>
    <w:rsid w:val="00E070D2"/>
    <w:rsid w:val="00E1539C"/>
    <w:rsid w:val="00E162B6"/>
    <w:rsid w:val="00E16E01"/>
    <w:rsid w:val="00E231D0"/>
    <w:rsid w:val="00E24A50"/>
    <w:rsid w:val="00E27F74"/>
    <w:rsid w:val="00E35639"/>
    <w:rsid w:val="00E432CC"/>
    <w:rsid w:val="00E50711"/>
    <w:rsid w:val="00E60EDA"/>
    <w:rsid w:val="00E62BBC"/>
    <w:rsid w:val="00E715CD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36FF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2CB6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CorpoChar1">
    <w:name w:val="Corpo Char1"/>
    <w:uiPriority w:val="99"/>
    <w:locked/>
    <w:rsid w:val="007C7272"/>
    <w:rPr>
      <w:rFonts w:ascii="Courier New" w:eastAsia="Times New Roman" w:hAnsi="Courier New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223200&amp;digitoTst=17&amp;anoTst=2009&amp;orgaoTst=5&amp;tribunalTst=12&amp;varaTst=005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plicacao5.tst.jus.br/consultaProcessual/consultaTstNumUnica.do?consulta=Consultar&amp;conscsjt=&amp;numeroTst=23100&amp;digitoTst=50&amp;anoTst=2010&amp;orgaoTst=5&amp;tribunalTst=13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563100&amp;digitoTst=38&amp;anoTst=2007&amp;orgaoTst=5&amp;tribunalTst=09&amp;varaTst=006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F357-070F-4294-A76A-2ABD2E2B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5679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https://aplicacao5.tst.jus.br/consultaProcessual/consultaTstNumUnica.do?consulta=Consultar&amp;conscsjt=&amp;numeroTst=23100&amp;digitoTst=50&amp;anoTst=2010&amp;orgaoTst=5&amp;tribunalTst=13&amp;varaTst=0000</vt:lpwstr>
      </vt:variant>
      <vt:variant>
        <vt:lpwstr/>
      </vt:variant>
      <vt:variant>
        <vt:i4>6094924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https://aplicacao5.tst.jus.br/consultaProcessual/consultaTstNumUnica.do?consulta=Consultar&amp;conscsjt=&amp;numeroTst=563100&amp;digitoTst=38&amp;anoTst=2007&amp;orgaoTst=5&amp;tribunalTst=09&amp;varaTst=0069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https://aplicacao5.tst.jus.br/consultaProcessual/consultaTstNumUnica.do?consulta=Consultar&amp;conscsjt=&amp;numeroTst=223200&amp;digitoTst=17&amp;anoTst=2009&amp;orgaoTst=5&amp;tribunalTst=12&amp;varaTst=0054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2014-04-01T19:08:00Z</cp:lastPrinted>
  <dcterms:created xsi:type="dcterms:W3CDTF">2018-06-27T21:47:00Z</dcterms:created>
  <dcterms:modified xsi:type="dcterms:W3CDTF">2018-06-27T21:47:00Z</dcterms:modified>
</cp:coreProperties>
</file>