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ED36FF" w:rsidRPr="00971E07" w:rsidRDefault="00631F1C" w:rsidP="00ED36FF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ED36FF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D36FF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="00ED36FF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D36FF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ED36FF" w:rsidRPr="000E2685" w:rsidRDefault="00ED36FF" w:rsidP="00912CF7">
      <w:pPr>
        <w:jc w:val="both"/>
        <w:rPr>
          <w:u w:val="single"/>
        </w:rPr>
      </w:pPr>
    </w:p>
    <w:p w:rsidR="00ED36FF" w:rsidRPr="002C055B" w:rsidRDefault="00ED36FF" w:rsidP="00ED36FF">
      <w:pPr>
        <w:jc w:val="both"/>
        <w:rPr>
          <w:b/>
          <w:i/>
          <w:sz w:val="24"/>
          <w:szCs w:val="24"/>
        </w:rPr>
      </w:pPr>
      <w:r w:rsidRPr="002C055B">
        <w:rPr>
          <w:b/>
          <w:i/>
          <w:sz w:val="24"/>
          <w:szCs w:val="24"/>
        </w:rPr>
        <w:t xml:space="preserve">Recurso interposto via e-DOC. Ausência das folhas que trazem a identificação e a assinatura do advogado. Regularidade. Assinatura digital. </w:t>
      </w:r>
    </w:p>
    <w:p w:rsidR="00ED36FF" w:rsidRPr="002C055B" w:rsidRDefault="00ED36FF" w:rsidP="00ED36FF">
      <w:pPr>
        <w:jc w:val="both"/>
        <w:rPr>
          <w:rStyle w:val="Hyperlink"/>
          <w:sz w:val="24"/>
          <w:szCs w:val="24"/>
        </w:rPr>
      </w:pPr>
      <w:r w:rsidRPr="002C055B">
        <w:rPr>
          <w:sz w:val="24"/>
          <w:szCs w:val="24"/>
        </w:rPr>
        <w:t xml:space="preserve">No peticionamento eletrônico (e-DOC) o próprio sistema atesta a assinatura digital, de modo que não pode ser tido por inexistente ou apócrifo o recurso em que ausentes as folhas que normalmente trazem a identificação e assinatura do advogado (folha de rosto e última lauda). Outrossim, a ausência dessas folhas não impede o conhecimento do recurso se da sua leitura for possível identificar os vícios que a parte indica. Por fim, não se consideram extemporâneos os embargos de declaração opostos fora do quinquídio legal se o objetivo da petição era apenas alertar o Tribunal da incompletude dos primeiros declaratórios. Com esse entendimento, a SBDI-I, por unanimidade, conheceu dos embargos </w:t>
      </w:r>
      <w:r>
        <w:rPr>
          <w:sz w:val="24"/>
          <w:szCs w:val="24"/>
        </w:rPr>
        <w:t xml:space="preserve">interpostos pelo </w:t>
      </w:r>
      <w:r w:rsidRPr="002C055B">
        <w:rPr>
          <w:sz w:val="24"/>
          <w:szCs w:val="24"/>
        </w:rPr>
        <w:t>reclamante por divergência jurisprudencial, e, no mérito, deu-lhes provimento para afastar a irregularidade de representação</w:t>
      </w:r>
      <w:r w:rsidRPr="008D44F7">
        <w:rPr>
          <w:sz w:val="24"/>
          <w:szCs w:val="24"/>
        </w:rPr>
        <w:t xml:space="preserve">, excluir da condenação a multa de 1% sobre o valor da causa e determinar o retorno dos autos à </w:t>
      </w:r>
      <w:r w:rsidRPr="002C055B">
        <w:rPr>
          <w:sz w:val="24"/>
          <w:szCs w:val="24"/>
        </w:rPr>
        <w:t>t</w:t>
      </w:r>
      <w:r w:rsidRPr="008D44F7">
        <w:rPr>
          <w:sz w:val="24"/>
          <w:szCs w:val="24"/>
        </w:rPr>
        <w:t>urma para que examine os embargos de declaração como entender de direito</w:t>
      </w:r>
      <w:r w:rsidRPr="002C055B">
        <w:rPr>
          <w:sz w:val="24"/>
          <w:szCs w:val="24"/>
        </w:rPr>
        <w:t xml:space="preserve">. </w:t>
      </w:r>
      <w:hyperlink r:id="rId8" w:history="1">
        <w:r w:rsidRPr="000E2685">
          <w:rPr>
            <w:rStyle w:val="Hyperlink"/>
            <w:sz w:val="24"/>
            <w:szCs w:val="24"/>
          </w:rPr>
          <w:t>TST-E-ED-RR-177500-51.2005.5.01.0058</w:t>
        </w:r>
      </w:hyperlink>
      <w:r w:rsidRPr="002C055B">
        <w:rPr>
          <w:sz w:val="24"/>
          <w:szCs w:val="24"/>
          <w:u w:val="single"/>
        </w:rPr>
        <w:t>, SBDI-I, rel. Min. Alexandre de Souza Agra Belmonte, 27.2.2014</w:t>
      </w:r>
    </w:p>
    <w:p w:rsidR="00ED36FF" w:rsidRPr="000E2685" w:rsidRDefault="00ED36FF" w:rsidP="00912CF7">
      <w:pPr>
        <w:jc w:val="both"/>
        <w:rPr>
          <w:u w:val="single"/>
        </w:rPr>
      </w:pPr>
    </w:p>
    <w:p w:rsidR="00ED36FF" w:rsidRPr="00895CC6" w:rsidRDefault="00ED36FF" w:rsidP="00ED36F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Banco do Brasil S.A. Analista Pleno e Assessor Pleno UE. Ausência de fidúcia. Horas extras devidas. Compensação com a gratificação de função indevida. Súmula nº 109 do TST.  Inaplicabilidade da Orientação Jurisprudencial Transitória nº 70 da SBDI-I.  </w:t>
      </w:r>
    </w:p>
    <w:p w:rsidR="00ED36FF" w:rsidRDefault="00ED36FF" w:rsidP="00ED36FF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Descaracterizado pelo Tribunal Regional o exercício da função de confiança a que alude o art. 224, § 2º, da CLT, porque reconhecida que a percepção da gratificação, nos períodos em que o Reclamante exerceu as funções de Analista Pleno e de Assessor Pleno UE no Banco do Brasil S.A., visava remunerar a maior responsabilidade do cargo, a determinação de compensação das horas extraordinárias devidas (7ª e 8ª) com o valor da gratificação de função percebida contraria a Súmula nº 109 do TST. Ademais, não há falar em incidência da Orientação Jurisprudencial Transitória nº 70 da SBDI-I ao caso concreto, pois além de ser específica para a Caixa Econômica Federal – CEF, aos empregados do Banco do Brasil não foi dada a opção entre a jornada de 6 ou de 8 horas de trabalho para a mesma função. </w:t>
      </w:r>
      <w:r w:rsidRPr="0030024E">
        <w:rPr>
          <w:rFonts w:ascii="Times New Roman" w:eastAsia="Calibri" w:hAnsi="Times New Roman" w:cs="Times New Roman"/>
          <w:color w:val="auto"/>
          <w:lang w:val="pt-BR" w:eastAsia="en-US"/>
        </w:rPr>
        <w:t>Com esse entendimento, a 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B</w:t>
      </w:r>
      <w:r w:rsidRPr="0030024E">
        <w:rPr>
          <w:rFonts w:ascii="Times New Roman" w:eastAsia="Calibri" w:hAnsi="Times New Roman" w:cs="Times New Roman"/>
          <w:color w:val="auto"/>
          <w:lang w:val="pt-BR" w:eastAsia="en-US"/>
        </w:rPr>
        <w:t xml:space="preserve">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maioria</w:t>
      </w:r>
      <w:r w:rsidRPr="0030024E">
        <w:rPr>
          <w:rFonts w:ascii="Times New Roman" w:eastAsia="Calibri" w:hAnsi="Times New Roman" w:cs="Times New Roman"/>
          <w:color w:val="auto"/>
          <w:lang w:val="pt-BR" w:eastAsia="en-US"/>
        </w:rPr>
        <w:t>, conheceu dos embargo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 </w:t>
      </w:r>
      <w:r w:rsidR="000E2685">
        <w:rPr>
          <w:rFonts w:ascii="Times New Roman" w:eastAsia="Calibri" w:hAnsi="Times New Roman" w:cs="Times New Roman"/>
          <w:color w:val="auto"/>
          <w:lang w:val="pt-BR" w:eastAsia="en-US"/>
        </w:rPr>
        <w:t>interpostos pelo 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eclamante, </w:t>
      </w:r>
      <w:r w:rsidRPr="0030024E">
        <w:rPr>
          <w:rFonts w:ascii="Times New Roman" w:eastAsia="Calibri" w:hAnsi="Times New Roman" w:cs="Times New Roman"/>
          <w:color w:val="auto"/>
          <w:lang w:val="pt-BR" w:eastAsia="en-US"/>
        </w:rPr>
        <w:t>por divergência jurisprudencial, e, no mérito, deu-lhes provimento para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restabelecer a sentença de primeiro grau, que afastou a compensação. Vencido o Ministro Brito Pereira, relator, que não conhecia do recurso.  </w:t>
      </w:r>
      <w:r w:rsidRPr="0030024E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0E2685">
          <w:rPr>
            <w:rStyle w:val="Hyperlink"/>
            <w:rFonts w:ascii="Times New Roman" w:eastAsia="Calibri" w:hAnsi="Times New Roman"/>
            <w:lang w:val="pt-BR" w:eastAsia="en-US"/>
          </w:rPr>
          <w:t>TST-E-ED-ED-RR-25-27.2010.5.10.0012</w:t>
        </w:r>
      </w:hyperlink>
      <w:r w:rsidRPr="00F2196F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SBDI-I, rel. Min.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Brito Pereira, </w:t>
      </w:r>
      <w:r w:rsidRPr="00F2196F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red.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 p/ acórdão</w:t>
      </w:r>
      <w:r w:rsidRPr="00F2196F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 </w:t>
      </w:r>
      <w:r w:rsidRPr="000F0CF8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Min. Luiz Philippe Vieira de Mello Filho, 27.2.2014</w:t>
      </w:r>
    </w:p>
    <w:p w:rsidR="00ED36FF" w:rsidRPr="000E2685" w:rsidRDefault="00ED36FF" w:rsidP="00912CF7">
      <w:pPr>
        <w:jc w:val="both"/>
        <w:rPr>
          <w:u w:val="single"/>
        </w:rPr>
      </w:pPr>
    </w:p>
    <w:p w:rsidR="00ED36FF" w:rsidRPr="00ED36FF" w:rsidRDefault="00ED36FF" w:rsidP="00ED36FF">
      <w:pPr>
        <w:jc w:val="both"/>
        <w:rPr>
          <w:b/>
          <w:bCs/>
          <w:i/>
          <w:sz w:val="24"/>
          <w:szCs w:val="24"/>
        </w:rPr>
      </w:pPr>
      <w:r w:rsidRPr="00ED36FF">
        <w:rPr>
          <w:b/>
          <w:bCs/>
          <w:i/>
          <w:sz w:val="24"/>
          <w:szCs w:val="24"/>
        </w:rPr>
        <w:t xml:space="preserve">Embargos. Art. 894, II, da CLT. Divergência jurisprudencial. Confronto com tese </w:t>
      </w:r>
      <w:r w:rsidR="000E2685">
        <w:rPr>
          <w:b/>
          <w:bCs/>
          <w:i/>
          <w:sz w:val="24"/>
          <w:szCs w:val="24"/>
        </w:rPr>
        <w:t xml:space="preserve">constante </w:t>
      </w:r>
      <w:r w:rsidRPr="00ED36FF">
        <w:rPr>
          <w:b/>
          <w:bCs/>
          <w:i/>
          <w:sz w:val="24"/>
          <w:szCs w:val="24"/>
        </w:rPr>
        <w:t xml:space="preserve">na ementa transcrita no corpo do acórdão trazido à cotejo. Impossibilidade. </w:t>
      </w:r>
    </w:p>
    <w:p w:rsidR="00ED36FF" w:rsidRPr="00ED36FF" w:rsidRDefault="00ED36FF" w:rsidP="00ED36FF">
      <w:pPr>
        <w:jc w:val="both"/>
        <w:rPr>
          <w:sz w:val="24"/>
          <w:szCs w:val="24"/>
          <w:u w:val="single"/>
        </w:rPr>
      </w:pPr>
      <w:r w:rsidRPr="00ED36FF">
        <w:rPr>
          <w:sz w:val="24"/>
          <w:szCs w:val="24"/>
        </w:rPr>
        <w:t>Na hipótese em que o aresto trazido à cotejo não preenche os requisitos da Súmula nº 337, itens I, “a” e  IV, “c”, do TST, não é possível conhecer dos embargos por divergência jurisprudencial com as ementas transcritas no corpo do precedente apresentado ao confronto que estejam de acordo com os preceitos da referida súmula. Entendeu-se, na hipótese, que o defeito formal do julgado indicado à comprovação da divergência jurisprudencial justificadora do apelo contamina todo o seu texto, inclusive os arestos constantes em seu interior. Com esse posicionamento, a SBDI-I, por maioria, não conheceu dos embargos do reclamante. Vencido o Ministro Augusto C</w:t>
      </w:r>
      <w:r>
        <w:rPr>
          <w:sz w:val="24"/>
          <w:szCs w:val="24"/>
        </w:rPr>
        <w:t>é</w:t>
      </w:r>
      <w:r w:rsidRPr="00ED36FF">
        <w:rPr>
          <w:sz w:val="24"/>
          <w:szCs w:val="24"/>
        </w:rPr>
        <w:t xml:space="preserve">sar Leite de Carvalho que, </w:t>
      </w:r>
      <w:r w:rsidRPr="00ED36FF">
        <w:rPr>
          <w:sz w:val="24"/>
          <w:szCs w:val="24"/>
        </w:rPr>
        <w:lastRenderedPageBreak/>
        <w:t xml:space="preserve">citando o precedente TST-E-ED-RR-6575100-92.2002.5.01.0900, conhecia dos embargos por divergência jurisprudencial. </w:t>
      </w:r>
      <w:hyperlink r:id="rId10" w:history="1">
        <w:r w:rsidRPr="000E2685">
          <w:rPr>
            <w:rStyle w:val="Hyperlink"/>
            <w:sz w:val="24"/>
            <w:szCs w:val="24"/>
          </w:rPr>
          <w:t>TST-E-ED-RR-39400-88.2009.5.03.0004</w:t>
        </w:r>
      </w:hyperlink>
      <w:r w:rsidRPr="00ED36FF">
        <w:rPr>
          <w:sz w:val="24"/>
          <w:szCs w:val="24"/>
          <w:u w:val="single"/>
        </w:rPr>
        <w:t>,</w:t>
      </w:r>
      <w:r w:rsidR="000E2685">
        <w:rPr>
          <w:sz w:val="24"/>
          <w:szCs w:val="24"/>
          <w:u w:val="single"/>
        </w:rPr>
        <w:t xml:space="preserve"> </w:t>
      </w:r>
      <w:r w:rsidRPr="00ED36FF">
        <w:rPr>
          <w:sz w:val="24"/>
          <w:szCs w:val="24"/>
          <w:u w:val="single"/>
        </w:rPr>
        <w:t>SBDI-I, rel. Min. Brito Pereira, 27.2.2014</w:t>
      </w:r>
    </w:p>
    <w:p w:rsidR="00102C7C" w:rsidRPr="000E2685" w:rsidRDefault="00102C7C" w:rsidP="00102C7C">
      <w:pPr>
        <w:jc w:val="both"/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UBSEÇÃO I</w:t>
      </w:r>
      <w:r w:rsidR="00ED36FF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12CF7" w:rsidRPr="000E2685" w:rsidRDefault="00912CF7" w:rsidP="00912CF7">
      <w:pPr>
        <w:jc w:val="both"/>
        <w:rPr>
          <w:b/>
          <w:i/>
        </w:rPr>
      </w:pPr>
    </w:p>
    <w:p w:rsidR="00ED36FF" w:rsidRPr="00895CC6" w:rsidRDefault="00ED36FF" w:rsidP="00ED36F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Mandado de segurança</w:t>
      </w:r>
      <w:r w:rsidRPr="00895CC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A</w:t>
      </w:r>
      <w:r w:rsidRPr="00441279">
        <w:rPr>
          <w:b/>
          <w:i/>
          <w:sz w:val="24"/>
          <w:szCs w:val="24"/>
        </w:rPr>
        <w:t>tos judiciais praticados em processos di</w:t>
      </w:r>
      <w:r>
        <w:rPr>
          <w:b/>
          <w:i/>
          <w:sz w:val="24"/>
          <w:szCs w:val="24"/>
        </w:rPr>
        <w:t>ferentes</w:t>
      </w:r>
      <w:r w:rsidRPr="00441279">
        <w:rPr>
          <w:b/>
          <w:i/>
          <w:sz w:val="24"/>
          <w:szCs w:val="24"/>
        </w:rPr>
        <w:t>, com distinto teor</w:t>
      </w:r>
      <w:r>
        <w:rPr>
          <w:b/>
          <w:i/>
          <w:sz w:val="24"/>
          <w:szCs w:val="24"/>
        </w:rPr>
        <w:t xml:space="preserve"> e autoridades coatoras diversa</w:t>
      </w:r>
      <w:r w:rsidRPr="00441279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. Incabível. </w:t>
      </w:r>
    </w:p>
    <w:p w:rsidR="00ED36FF" w:rsidRPr="00895CC6" w:rsidRDefault="00ED36FF" w:rsidP="00ED36FF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Dada a natureza especial do mandado de segurança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que requer apreciação individualizada do ato coator,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é </w:t>
      </w:r>
      <w:r w:rsidRPr="00E74C65">
        <w:rPr>
          <w:rFonts w:ascii="Times New Roman" w:eastAsia="Calibri" w:hAnsi="Times New Roman" w:cs="Times New Roman"/>
          <w:color w:val="auto"/>
          <w:lang w:val="pt-BR" w:eastAsia="en-US"/>
        </w:rPr>
        <w:t>incabível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E74C65">
        <w:rPr>
          <w:rFonts w:ascii="Times New Roman" w:eastAsia="Calibri" w:hAnsi="Times New Roman" w:cs="Times New Roman"/>
          <w:color w:val="auto"/>
          <w:lang w:val="pt-BR" w:eastAsia="en-US"/>
        </w:rPr>
        <w:t xml:space="preserve">a impetração de um único 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>mandamus</w:t>
      </w:r>
      <w:r w:rsidRPr="00E74C65">
        <w:rPr>
          <w:rFonts w:ascii="Times New Roman" w:eastAsia="Calibri" w:hAnsi="Times New Roman" w:cs="Times New Roman"/>
          <w:color w:val="auto"/>
          <w:lang w:val="pt-BR" w:eastAsia="en-US"/>
        </w:rPr>
        <w:t xml:space="preserve"> para atacar atos judiciais praticados em processos di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ferentes</w:t>
      </w:r>
      <w:r w:rsidRPr="00E74C65">
        <w:rPr>
          <w:rFonts w:ascii="Times New Roman" w:eastAsia="Calibri" w:hAnsi="Times New Roman" w:cs="Times New Roman"/>
          <w:color w:val="auto"/>
          <w:lang w:val="pt-BR" w:eastAsia="en-US"/>
        </w:rPr>
        <w:t>, com distinto teor e autoridades coatoras di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versas. No caso, a ação mandamental fora ajuizada por Guardiões Vigilância Ltda. e Linaldo Pereira </w:t>
      </w:r>
      <w:r>
        <w:rPr>
          <w:rFonts w:ascii="Times New Roman" w:hAnsi="Times New Roman" w:cs="Times New Roman"/>
          <w:lang w:val="pt-BR"/>
        </w:rPr>
        <w:t>contra</w:t>
      </w:r>
      <w:r w:rsidRPr="00441279">
        <w:rPr>
          <w:rFonts w:ascii="Times New Roman" w:hAnsi="Times New Roman" w:cs="Times New Roman"/>
          <w:lang w:val="pt-BR"/>
        </w:rPr>
        <w:t xml:space="preserve"> decisões da </w:t>
      </w:r>
      <w:r w:rsidRPr="00441279">
        <w:rPr>
          <w:rFonts w:ascii="Times New Roman" w:hAnsi="Times New Roman" w:cs="Times New Roman"/>
          <w:color w:val="auto"/>
          <w:lang w:val="pt-BR"/>
        </w:rPr>
        <w:t>1ª, 2ª, 3ª, 5ª, 7ª, 9ª, 11ª, 12ª, 13ª, 14ª Varas do Trabalho do Recife</w:t>
      </w:r>
      <w:r>
        <w:rPr>
          <w:rFonts w:ascii="Times New Roman" w:hAnsi="Times New Roman" w:cs="Times New Roman"/>
          <w:color w:val="auto"/>
          <w:lang w:val="pt-BR"/>
        </w:rPr>
        <w:t>/PE</w:t>
      </w:r>
      <w:r w:rsidRPr="00441279">
        <w:rPr>
          <w:rFonts w:ascii="Times New Roman" w:hAnsi="Times New Roman" w:cs="Times New Roman"/>
          <w:color w:val="auto"/>
          <w:lang w:val="pt-BR"/>
        </w:rPr>
        <w:t xml:space="preserve"> e</w:t>
      </w:r>
      <w:r>
        <w:rPr>
          <w:rFonts w:ascii="Times New Roman" w:hAnsi="Times New Roman" w:cs="Times New Roman"/>
          <w:color w:val="auto"/>
          <w:lang w:val="pt-BR"/>
        </w:rPr>
        <w:t xml:space="preserve"> da</w:t>
      </w:r>
      <w:r w:rsidRPr="00441279">
        <w:rPr>
          <w:rFonts w:ascii="Times New Roman" w:hAnsi="Times New Roman" w:cs="Times New Roman"/>
          <w:color w:val="auto"/>
          <w:lang w:val="pt-BR"/>
        </w:rPr>
        <w:t xml:space="preserve"> 1ª Vara do Trabalho de Ipojuca</w:t>
      </w:r>
      <w:r>
        <w:rPr>
          <w:rFonts w:ascii="Times New Roman" w:hAnsi="Times New Roman" w:cs="Times New Roman"/>
          <w:color w:val="auto"/>
          <w:lang w:val="pt-BR"/>
        </w:rPr>
        <w:t>/PE</w:t>
      </w:r>
      <w:r w:rsidRPr="00441279">
        <w:rPr>
          <w:rFonts w:ascii="Times New Roman" w:hAnsi="Times New Roman" w:cs="Times New Roman"/>
          <w:lang w:val="pt-BR"/>
        </w:rPr>
        <w:t>, proferidas nos autos de diversas reclamações trabalhistas</w:t>
      </w:r>
      <w:r>
        <w:rPr>
          <w:rFonts w:ascii="Times New Roman" w:hAnsi="Times New Roman" w:cs="Times New Roman"/>
          <w:lang w:val="pt-BR"/>
        </w:rPr>
        <w:t xml:space="preserve"> em que consta como parte a empresa Rio Forte Serviços Técnicos S.A., e</w:t>
      </w:r>
      <w:r w:rsidRPr="00441279">
        <w:rPr>
          <w:rFonts w:ascii="Times New Roman" w:hAnsi="Times New Roman" w:cs="Times New Roman"/>
          <w:lang w:val="pt-BR"/>
        </w:rPr>
        <w:t xml:space="preserve"> que incluíram os impetrantes no cadastro do Banco Nacional de Devedores Trabalhistas – BNDT.</w:t>
      </w:r>
      <w:r>
        <w:rPr>
          <w:rFonts w:ascii="Times New Roman" w:hAnsi="Times New Roman" w:cs="Times New Roman"/>
          <w:lang w:val="pt-BR"/>
        </w:rPr>
        <w:t xml:space="preserve"> Com esse entendimento,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 SBDI-II, </w:t>
      </w:r>
      <w:r w:rsidRPr="00F46C32">
        <w:rPr>
          <w:rFonts w:ascii="Times New Roman" w:eastAsia="Calibri" w:hAnsi="Times New Roman" w:cs="Times New Roman"/>
          <w:color w:val="auto"/>
          <w:lang w:val="pt-BR" w:eastAsia="en-US"/>
        </w:rPr>
        <w:t>por unanimidade, de ofício, extingu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iu</w:t>
      </w:r>
      <w:r w:rsidRPr="00F46C32">
        <w:rPr>
          <w:rFonts w:ascii="Times New Roman" w:eastAsia="Calibri" w:hAnsi="Times New Roman" w:cs="Times New Roman"/>
          <w:color w:val="auto"/>
          <w:lang w:val="pt-BR" w:eastAsia="en-US"/>
        </w:rPr>
        <w:t xml:space="preserve"> o processo, sem resolução do mérito, com fundamento no inciso IV do art. 267 do CPC.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11" w:history="1">
        <w:r w:rsidRPr="000E2685">
          <w:rPr>
            <w:rStyle w:val="Hyperlink"/>
            <w:rFonts w:ascii="Times New Roman" w:hAnsi="Times New Roman" w:cs="Courier New"/>
            <w:lang w:val="pt-BR"/>
          </w:rPr>
          <w:t>TST-RO-395-82.2012.5.06.0000</w:t>
        </w:r>
      </w:hyperlink>
      <w:r>
        <w:rPr>
          <w:rFonts w:ascii="Times New Roman" w:hAnsi="Times New Roman"/>
          <w:u w:val="single"/>
          <w:lang w:val="pt-BR"/>
        </w:rPr>
        <w:t xml:space="preserve">, SBDI-II, rel. Min. Hugo Carlos Scheuermann, 25.2.2014 </w:t>
      </w:r>
    </w:p>
    <w:p w:rsidR="00102C7C" w:rsidRPr="005D1DE4" w:rsidRDefault="00102C7C" w:rsidP="005460BD">
      <w:pPr>
        <w:ind w:right="-71"/>
        <w:jc w:val="both"/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912CF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992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6" w:rsidRDefault="00221C66">
      <w:r>
        <w:separator/>
      </w:r>
    </w:p>
  </w:endnote>
  <w:endnote w:type="continuationSeparator" w:id="0">
    <w:p w:rsidR="00221C66" w:rsidRDefault="002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6B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DB6BA6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6" w:rsidRDefault="00221C66">
      <w:r>
        <w:separator/>
      </w:r>
    </w:p>
  </w:footnote>
  <w:footnote w:type="continuationSeparator" w:id="0">
    <w:p w:rsidR="00221C66" w:rsidRDefault="0022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02C7C">
      <w:rPr>
        <w:shadow/>
        <w:sz w:val="24"/>
        <w:szCs w:val="24"/>
      </w:rPr>
      <w:t>7</w:t>
    </w:r>
    <w:r w:rsidR="00ED36FF">
      <w:rPr>
        <w:shadow/>
        <w:sz w:val="24"/>
        <w:szCs w:val="24"/>
      </w:rPr>
      <w:t>4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ED36FF">
      <w:rPr>
        <w:sz w:val="20"/>
        <w:szCs w:val="20"/>
      </w:rPr>
      <w:t>25 de fevereiro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D36FF">
      <w:rPr>
        <w:sz w:val="20"/>
        <w:szCs w:val="20"/>
      </w:rPr>
      <w:t>5 de março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102C7C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02C7C">
      <w:rPr>
        <w:b/>
        <w:sz w:val="40"/>
        <w:szCs w:val="40"/>
      </w:rPr>
      <w:t>7</w:t>
    </w:r>
    <w:r w:rsidR="00ED36FF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912CF7">
    <w:pPr>
      <w:pStyle w:val="Cabealho"/>
      <w:jc w:val="right"/>
    </w:pPr>
    <w:r>
      <w:rPr>
        <w:i/>
        <w:iCs/>
      </w:rPr>
      <w:t xml:space="preserve">Período: </w:t>
    </w:r>
    <w:r w:rsidR="00ED36FF">
      <w:rPr>
        <w:i/>
        <w:iCs/>
      </w:rPr>
      <w:t xml:space="preserve">25 </w:t>
    </w:r>
    <w:r w:rsidR="00FE00AD" w:rsidRPr="005D1DE4">
      <w:rPr>
        <w:i/>
        <w:iCs/>
      </w:rPr>
      <w:t xml:space="preserve">de </w:t>
    </w:r>
    <w:r w:rsidR="00102C7C">
      <w:rPr>
        <w:i/>
        <w:iCs/>
      </w:rPr>
      <w:t>fevereiro</w:t>
    </w:r>
    <w:r w:rsidR="00ED36FF">
      <w:rPr>
        <w:i/>
        <w:iCs/>
      </w:rPr>
      <w:t xml:space="preserve"> a 5 de março</w:t>
    </w:r>
    <w:r w:rsidR="00102C7C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102C7C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68D0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2685"/>
    <w:rsid w:val="00102C7C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1C66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C275A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12CF7"/>
    <w:rsid w:val="0093467A"/>
    <w:rsid w:val="0094155C"/>
    <w:rsid w:val="00951531"/>
    <w:rsid w:val="00960A3B"/>
    <w:rsid w:val="00967DE0"/>
    <w:rsid w:val="00971E07"/>
    <w:rsid w:val="00980944"/>
    <w:rsid w:val="009857BB"/>
    <w:rsid w:val="00986D77"/>
    <w:rsid w:val="009943EC"/>
    <w:rsid w:val="009A32D5"/>
    <w:rsid w:val="009B6012"/>
    <w:rsid w:val="009C102D"/>
    <w:rsid w:val="009C2A4F"/>
    <w:rsid w:val="009D2B61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23A5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58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B6BA6"/>
    <w:rsid w:val="00DC0AB5"/>
    <w:rsid w:val="00DC50EB"/>
    <w:rsid w:val="00DD3FA0"/>
    <w:rsid w:val="00DE5B2D"/>
    <w:rsid w:val="00DE5CE9"/>
    <w:rsid w:val="00E03064"/>
    <w:rsid w:val="00E04BD5"/>
    <w:rsid w:val="00E05A28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36FF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77500&amp;digitoTst=51&amp;anoTst=2005&amp;orgaoTst=5&amp;tribunalTst=01&amp;varaTst=00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395&amp;digitoTst=82&amp;anoTst=2012&amp;orgaoTst=5&amp;tribunalTst=06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39400&amp;digitoTst=88&amp;anoTst=2009&amp;orgaoTst=5&amp;tribunalTst=03&amp;varaTst=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5&amp;digitoTst=27&amp;anoTst=2010&amp;orgaoTst=5&amp;tribunalTst=10&amp;varaTst=001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85F3-5A62-47A2-BCB6-48BA17B1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6249</CharactersWithSpaces>
  <SharedDoc>false</SharedDoc>
  <HLinks>
    <vt:vector size="24" baseType="variant"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https://aplicacao5.tst.jus.br/consultaProcessual/consultaTstNumUnica.do?consulta=Consultar&amp;conscsjt=&amp;numeroTst=395&amp;digitoTst=82&amp;anoTst=2012&amp;orgaoTst=5&amp;tribunalTst=06&amp;varaTst=0000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https://aplicacao5.tst.jus.br/consultaProcessual/consultaTstNumUnica.do?consulta=Consultar&amp;conscsjt=&amp;numeroTst=39400&amp;digitoTst=88&amp;anoTst=2009&amp;orgaoTst=5&amp;tribunalTst=03&amp;varaTst=0004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https://aplicacao5.tst.jus.br/consultaProcessual/consultaTstNumUnica.do?consulta=Consultar&amp;conscsjt=&amp;numeroTst=25&amp;digitoTst=27&amp;anoTst=2010&amp;orgaoTst=5&amp;tribunalTst=10&amp;varaTst=0012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https://aplicacao5.tst.jus.br/consultaProcessual/consultaTstNumUnica.do?consulta=Consultar&amp;conscsjt=&amp;numeroTst=177500&amp;digitoTst=51&amp;anoTst=2005&amp;orgaoTst=5&amp;tribunalTst=01&amp;varaTst=0058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2018-06-27T21:47:00Z</dcterms:created>
  <dcterms:modified xsi:type="dcterms:W3CDTF">2018-06-27T21:47:00Z</dcterms:modified>
</cp:coreProperties>
</file>