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EA29F5" w:rsidRPr="005D1DE4" w:rsidRDefault="00EA29F5" w:rsidP="00EA29F5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631F1C" w:rsidRPr="00971E07" w:rsidRDefault="00631F1C" w:rsidP="004925AD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4925AD" w:rsidRPr="00825153" w:rsidRDefault="004925AD" w:rsidP="004925AD">
      <w:pPr>
        <w:jc w:val="both"/>
        <w:rPr>
          <w:b/>
          <w:i/>
        </w:rPr>
      </w:pPr>
    </w:p>
    <w:p w:rsidR="004925AD" w:rsidRPr="00241F36" w:rsidRDefault="00662D39" w:rsidP="004925AD">
      <w:pPr>
        <w:jc w:val="both"/>
        <w:rPr>
          <w:b/>
          <w:i/>
          <w:sz w:val="24"/>
          <w:szCs w:val="24"/>
        </w:rPr>
      </w:pPr>
      <w:r w:rsidRPr="00241F36">
        <w:rPr>
          <w:b/>
          <w:i/>
          <w:sz w:val="24"/>
          <w:szCs w:val="24"/>
        </w:rPr>
        <w:t xml:space="preserve">Lei Eleitoral n.º 9.504/97. </w:t>
      </w:r>
      <w:r w:rsidR="004925AD" w:rsidRPr="00241F36">
        <w:rPr>
          <w:b/>
          <w:i/>
          <w:sz w:val="24"/>
          <w:szCs w:val="24"/>
        </w:rPr>
        <w:t xml:space="preserve">Estabilidade provisória. </w:t>
      </w:r>
      <w:r w:rsidR="004925AD">
        <w:rPr>
          <w:b/>
          <w:i/>
          <w:sz w:val="24"/>
          <w:szCs w:val="24"/>
        </w:rPr>
        <w:t xml:space="preserve">Concessão </w:t>
      </w:r>
      <w:r w:rsidR="004925AD" w:rsidRPr="00241F36">
        <w:rPr>
          <w:b/>
          <w:i/>
          <w:sz w:val="24"/>
          <w:szCs w:val="24"/>
        </w:rPr>
        <w:t xml:space="preserve">no período de projeção do aviso prévio indenizado. Possibilidade. Inaplicabilidade da Súmula n.º 371 do TST. </w:t>
      </w:r>
    </w:p>
    <w:p w:rsidR="004925AD" w:rsidRDefault="004925AD" w:rsidP="004925A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 </w:t>
      </w:r>
      <w:r w:rsidRPr="00241F36">
        <w:rPr>
          <w:sz w:val="24"/>
          <w:szCs w:val="24"/>
        </w:rPr>
        <w:t>Orientação Jurisprudencial n.º 82 da SBDI-I c/c art. 487, § 1º, parte final, da CLT</w:t>
      </w:r>
      <w:r>
        <w:rPr>
          <w:sz w:val="24"/>
          <w:szCs w:val="24"/>
        </w:rPr>
        <w:t xml:space="preserve"> depreende-se que o</w:t>
      </w:r>
      <w:r w:rsidRPr="00241F36">
        <w:rPr>
          <w:sz w:val="24"/>
          <w:szCs w:val="24"/>
        </w:rPr>
        <w:t xml:space="preserve"> aviso prévio indenizado</w:t>
      </w:r>
      <w:r w:rsidR="00662D39">
        <w:rPr>
          <w:sz w:val="24"/>
          <w:szCs w:val="24"/>
        </w:rPr>
        <w:t xml:space="preserve"> integra o contrato de trabalho</w:t>
      </w:r>
      <w:r w:rsidRPr="00241F36">
        <w:rPr>
          <w:sz w:val="24"/>
          <w:szCs w:val="24"/>
        </w:rPr>
        <w:t xml:space="preserve"> para t</w:t>
      </w:r>
      <w:r>
        <w:rPr>
          <w:sz w:val="24"/>
          <w:szCs w:val="24"/>
        </w:rPr>
        <w:t xml:space="preserve">odos os efeitos, inclusive no que diz respeito à concessão da </w:t>
      </w:r>
      <w:r w:rsidRPr="00241F36">
        <w:rPr>
          <w:sz w:val="24"/>
          <w:szCs w:val="24"/>
        </w:rPr>
        <w:t xml:space="preserve">estabilidade provisória prevista na Lei Eleitoral n.º 9.504/97. </w:t>
      </w:r>
      <w:r>
        <w:rPr>
          <w:sz w:val="24"/>
          <w:szCs w:val="24"/>
        </w:rPr>
        <w:t xml:space="preserve">Na hipótese, não há falar em incidência da Súmula nº 371 do TST, a qual limita os efeitos do aviso prévio indenizado às vantagens econômicas obtidas no período de pré-aviso, pois os precedentes que deram origem ao verbete apenas analisaram a projeção do aviso prévio sob o ângulo da garantia de emprego do dirigente sindical, do alcance dos benefícios oriundos de negociações coletivas ou da aplicação retroativa de normas coletivas, não se referindo, portanto, à questão da estabilidade do período eleitoral, a qual, inclusive, decorre de norma de ordem pública. Com esse entendimento, </w:t>
      </w:r>
      <w:r w:rsidRPr="00241F36">
        <w:rPr>
          <w:sz w:val="24"/>
          <w:szCs w:val="24"/>
        </w:rPr>
        <w:t>a SBDI-I, por unanimidade</w:t>
      </w:r>
      <w:r>
        <w:rPr>
          <w:sz w:val="24"/>
          <w:szCs w:val="24"/>
        </w:rPr>
        <w:t>,</w:t>
      </w:r>
      <w:r w:rsidRPr="00241F36">
        <w:rPr>
          <w:sz w:val="24"/>
          <w:szCs w:val="24"/>
        </w:rPr>
        <w:t xml:space="preserve"> conheceu dos embargos</w:t>
      </w:r>
      <w:r>
        <w:rPr>
          <w:sz w:val="24"/>
          <w:szCs w:val="24"/>
        </w:rPr>
        <w:t xml:space="preserve"> do reclamado</w:t>
      </w:r>
      <w:r w:rsidRPr="00241F36">
        <w:rPr>
          <w:sz w:val="24"/>
          <w:szCs w:val="24"/>
        </w:rPr>
        <w:t>, por divergência jurisprudencial</w:t>
      </w:r>
      <w:r>
        <w:rPr>
          <w:sz w:val="24"/>
          <w:szCs w:val="24"/>
        </w:rPr>
        <w:t>,</w:t>
      </w:r>
      <w:r w:rsidRPr="00241F36">
        <w:rPr>
          <w:sz w:val="24"/>
          <w:szCs w:val="24"/>
        </w:rPr>
        <w:t xml:space="preserve"> e</w:t>
      </w:r>
      <w:r>
        <w:rPr>
          <w:sz w:val="24"/>
          <w:szCs w:val="24"/>
        </w:rPr>
        <w:t>,</w:t>
      </w:r>
      <w:r w:rsidRPr="00241F36">
        <w:rPr>
          <w:sz w:val="24"/>
          <w:szCs w:val="24"/>
        </w:rPr>
        <w:t xml:space="preserve"> no mérito, negou-lhes provimento.</w:t>
      </w:r>
      <w:r>
        <w:rPr>
          <w:sz w:val="24"/>
          <w:szCs w:val="24"/>
        </w:rPr>
        <w:t xml:space="preserve"> </w:t>
      </w:r>
      <w:hyperlink r:id="rId8" w:history="1">
        <w:r w:rsidRPr="00825153">
          <w:rPr>
            <w:rStyle w:val="Hyperlink"/>
            <w:sz w:val="24"/>
            <w:szCs w:val="24"/>
          </w:rPr>
          <w:t>TST-E-ED-RR-129500-74.2010.5.17.0001</w:t>
        </w:r>
      </w:hyperlink>
      <w:r w:rsidRPr="00241F36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SBDI-I,</w:t>
      </w:r>
      <w:r w:rsidRPr="00241F36">
        <w:rPr>
          <w:sz w:val="24"/>
          <w:szCs w:val="24"/>
          <w:u w:val="single"/>
        </w:rPr>
        <w:t xml:space="preserve"> rel. Min. </w:t>
      </w:r>
      <w:r>
        <w:rPr>
          <w:sz w:val="24"/>
          <w:szCs w:val="24"/>
          <w:u w:val="single"/>
        </w:rPr>
        <w:t xml:space="preserve">Luiz Philippe </w:t>
      </w:r>
      <w:r w:rsidRPr="00241F36">
        <w:rPr>
          <w:sz w:val="24"/>
          <w:szCs w:val="24"/>
          <w:u w:val="single"/>
        </w:rPr>
        <w:t>Vieira de Mello Filho</w:t>
      </w:r>
      <w:r>
        <w:rPr>
          <w:sz w:val="24"/>
          <w:szCs w:val="24"/>
          <w:u w:val="single"/>
        </w:rPr>
        <w:t xml:space="preserve">, </w:t>
      </w:r>
      <w:r w:rsidRPr="00241F36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0.</w:t>
      </w:r>
      <w:r w:rsidRPr="00241F36">
        <w:rPr>
          <w:sz w:val="24"/>
          <w:szCs w:val="24"/>
          <w:u w:val="single"/>
        </w:rPr>
        <w:t>2.2014</w:t>
      </w:r>
    </w:p>
    <w:p w:rsidR="004925AD" w:rsidRPr="00825153" w:rsidRDefault="004925AD" w:rsidP="004925AD">
      <w:pPr>
        <w:jc w:val="both"/>
        <w:rPr>
          <w:u w:val="single"/>
        </w:rPr>
      </w:pPr>
    </w:p>
    <w:p w:rsidR="004925AD" w:rsidRDefault="004925AD" w:rsidP="004925AD">
      <w:pPr>
        <w:jc w:val="both"/>
        <w:rPr>
          <w:b/>
          <w:i/>
          <w:sz w:val="24"/>
          <w:szCs w:val="24"/>
        </w:rPr>
      </w:pPr>
      <w:r w:rsidRPr="00813F01">
        <w:rPr>
          <w:b/>
          <w:i/>
          <w:sz w:val="24"/>
          <w:szCs w:val="24"/>
        </w:rPr>
        <w:t xml:space="preserve">Horas </w:t>
      </w:r>
      <w:r w:rsidRPr="008B5665">
        <w:rPr>
          <w:i/>
          <w:sz w:val="24"/>
          <w:szCs w:val="24"/>
        </w:rPr>
        <w:t>in itinere</w:t>
      </w:r>
      <w:r w:rsidRPr="00813F01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 xml:space="preserve">Supressão por meio de norma coletiva. Concessão de outras vantagens aos empregados. Invalidade. </w:t>
      </w:r>
    </w:p>
    <w:p w:rsidR="004925AD" w:rsidRDefault="004925AD" w:rsidP="004925A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É inválido instrumento coletivo que exclui o direito às horas </w:t>
      </w:r>
      <w:r w:rsidRPr="008B5665">
        <w:rPr>
          <w:i/>
          <w:sz w:val="24"/>
          <w:szCs w:val="24"/>
        </w:rPr>
        <w:t>in itinere</w:t>
      </w:r>
      <w:r>
        <w:rPr>
          <w:sz w:val="24"/>
          <w:szCs w:val="24"/>
        </w:rPr>
        <w:t xml:space="preserve">, ainda que mediante a concessão de outras vantagens aos trabalhadores. O pagamento das horas de percurso está assegurado pelo art. 58, § 2º, da CLT, que é norma de ordem pública, razão pela qual a supressão deste direito atenta contra os preceitos que asseguram condições mínimas de proteção ao trabalho, não encontrando respaldo no disposto no art. 7º, XXVI, da CF, o qual  preconiza o reconhecimento das convenções e acordos coletivos de trabalho. Assim, a SBDI-I, por maioria, vencido o Ministro Ives Gandra Martins Filho, conheceu dos embargos da reclamada, por divergência jurisprudencial e, no mérito, negou-lhes provimento. </w:t>
      </w:r>
      <w:r w:rsidRPr="00DD6C77">
        <w:rPr>
          <w:i/>
          <w:sz w:val="24"/>
          <w:szCs w:val="24"/>
        </w:rPr>
        <w:t>In casu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o acordo coletivo de trabalho estabelecia que não seria computado o tempo de deslocamento dos trabalhadores rurais no trajeto residência-trabalho-residência, e em troca concedia cesta básica durante a entressafra, seguro de vida e acidentes além do obrigatório e sem custo para o empregado, abono anual aos trabalhadores com ganho mensal superior a dois salários mínimos, salário família além do limite legal e repositor energético, além de adotar tabela progressiva de produção além da prevista em convenção coletiva. </w:t>
      </w:r>
      <w:hyperlink r:id="rId9" w:history="1">
        <w:r w:rsidRPr="00825153">
          <w:rPr>
            <w:rStyle w:val="Hyperlink"/>
            <w:sz w:val="24"/>
            <w:szCs w:val="24"/>
          </w:rPr>
          <w:t>TST-E-ED-RR-1928-03.2010.5.06.0241</w:t>
        </w:r>
      </w:hyperlink>
      <w:r w:rsidRPr="008B5665">
        <w:rPr>
          <w:sz w:val="24"/>
          <w:szCs w:val="24"/>
          <w:u w:val="single"/>
        </w:rPr>
        <w:t xml:space="preserve">, SBDI-I, rel. </w:t>
      </w:r>
      <w:r>
        <w:rPr>
          <w:sz w:val="24"/>
          <w:szCs w:val="24"/>
          <w:u w:val="single"/>
        </w:rPr>
        <w:t>Min. Le</w:t>
      </w:r>
      <w:r w:rsidRPr="008B5665">
        <w:rPr>
          <w:sz w:val="24"/>
          <w:szCs w:val="24"/>
          <w:u w:val="single"/>
        </w:rPr>
        <w:t xml:space="preserve">lio Bentes Côrrea, </w:t>
      </w:r>
      <w:r>
        <w:rPr>
          <w:sz w:val="24"/>
          <w:szCs w:val="24"/>
          <w:u w:val="single"/>
        </w:rPr>
        <w:t>20.</w:t>
      </w:r>
      <w:r w:rsidRPr="008B5665">
        <w:rPr>
          <w:sz w:val="24"/>
          <w:szCs w:val="24"/>
          <w:u w:val="single"/>
        </w:rPr>
        <w:t>2.2014</w:t>
      </w:r>
    </w:p>
    <w:p w:rsidR="003613A8" w:rsidRPr="00825153" w:rsidRDefault="003613A8" w:rsidP="004925AD">
      <w:pPr>
        <w:jc w:val="both"/>
        <w:rPr>
          <w:u w:val="single"/>
        </w:rPr>
      </w:pPr>
    </w:p>
    <w:p w:rsidR="003613A8" w:rsidRDefault="003613A8" w:rsidP="003613A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Prescrição quinquenal. Alcance. Parcelas salariais vencidas e exigíveis na data da propositura da reclamação trabalhista.  </w:t>
      </w:r>
    </w:p>
    <w:p w:rsidR="003613A8" w:rsidRDefault="003613A8" w:rsidP="003613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 hipótese em que a reclamação trabalhista fora ajuizada em 7 de dezembro de 2006, a prescrição quinquenal atinge somente as parcelas salariais vencidas e exigíveis no momento da propositura da ação, não alcançando, portanto, as verbas referentes ao mês de dezembro de 2001, as quais se tornaram exigíveis apenas a partir do quinto dia útil do mês subsequente, ou seja, janeiro de 2002 (art. 459, § 1º da CLT). Com tais fundamentos, e afastando a incidência da Súmula nº 308, I, do TST, a SBDI-I, por unanimidade, conheceu dos embargos da reclamante, no tópico, por divergência jurisprudencial e, no mérito, deu-lhes provimento para afastar a prescrição pronunciada quanto aos </w:t>
      </w:r>
      <w:r>
        <w:rPr>
          <w:sz w:val="24"/>
          <w:szCs w:val="24"/>
        </w:rPr>
        <w:lastRenderedPageBreak/>
        <w:t xml:space="preserve">salários de dezembro de 2001. </w:t>
      </w:r>
      <w:hyperlink r:id="rId10" w:history="1">
        <w:r w:rsidRPr="00825153">
          <w:rPr>
            <w:rStyle w:val="Hyperlink"/>
            <w:sz w:val="24"/>
            <w:szCs w:val="24"/>
          </w:rPr>
          <w:t>TST E-ED-RR-118400-96.2006.5.10.0021</w:t>
        </w:r>
      </w:hyperlink>
      <w:r>
        <w:rPr>
          <w:sz w:val="24"/>
          <w:szCs w:val="24"/>
          <w:u w:val="single"/>
        </w:rPr>
        <w:t>, SBDI-I</w:t>
      </w:r>
      <w:r w:rsidRPr="008D6C83">
        <w:rPr>
          <w:sz w:val="24"/>
          <w:szCs w:val="24"/>
          <w:u w:val="single"/>
        </w:rPr>
        <w:t xml:space="preserve">, rel. Min. </w:t>
      </w:r>
      <w:r>
        <w:rPr>
          <w:sz w:val="24"/>
          <w:szCs w:val="24"/>
          <w:u w:val="single"/>
        </w:rPr>
        <w:t>Brito Pereira, 20.2</w:t>
      </w:r>
      <w:r w:rsidRPr="008D6C83">
        <w:rPr>
          <w:sz w:val="24"/>
          <w:szCs w:val="24"/>
          <w:u w:val="single"/>
        </w:rPr>
        <w:t>.201</w:t>
      </w:r>
      <w:r>
        <w:rPr>
          <w:sz w:val="24"/>
          <w:szCs w:val="24"/>
          <w:u w:val="single"/>
        </w:rPr>
        <w:t>4</w:t>
      </w:r>
    </w:p>
    <w:p w:rsidR="003613A8" w:rsidRPr="00813F01" w:rsidRDefault="003613A8" w:rsidP="004925AD">
      <w:pPr>
        <w:jc w:val="both"/>
        <w:rPr>
          <w:sz w:val="24"/>
          <w:szCs w:val="24"/>
        </w:rPr>
      </w:pPr>
    </w:p>
    <w:p w:rsidR="004925AD" w:rsidRPr="00206489" w:rsidRDefault="004925AD" w:rsidP="004925AD">
      <w:pPr>
        <w:jc w:val="both"/>
        <w:rPr>
          <w:sz w:val="24"/>
          <w:szCs w:val="24"/>
        </w:rPr>
      </w:pPr>
    </w:p>
    <w:p w:rsidR="006456B1" w:rsidRPr="005D1DE4" w:rsidRDefault="006456B1" w:rsidP="004C2612">
      <w:pPr>
        <w:pStyle w:val="EXPLICAO"/>
        <w:ind w:left="0"/>
        <w:rPr>
          <w:rFonts w:ascii="Times New Roman" w:hAnsi="Times New Roman" w:cs="Times New Roman"/>
          <w:b/>
          <w:color w:val="auto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912CF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304" w:right="992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41" w:rsidRDefault="00741541">
      <w:r>
        <w:separator/>
      </w:r>
    </w:p>
  </w:endnote>
  <w:endnote w:type="continuationSeparator" w:id="0">
    <w:p w:rsidR="00741541" w:rsidRDefault="0074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161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161616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41" w:rsidRDefault="00741541">
      <w:r>
        <w:separator/>
      </w:r>
    </w:p>
  </w:footnote>
  <w:footnote w:type="continuationSeparator" w:id="0">
    <w:p w:rsidR="00741541" w:rsidRDefault="00741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102C7C">
      <w:rPr>
        <w:shadow/>
        <w:sz w:val="24"/>
        <w:szCs w:val="24"/>
      </w:rPr>
      <w:t>7</w:t>
    </w:r>
    <w:r w:rsidR="003613A8">
      <w:rPr>
        <w:shadow/>
        <w:sz w:val="24"/>
        <w:szCs w:val="24"/>
      </w:rPr>
      <w:t>3</w:t>
    </w:r>
  </w:p>
  <w:p w:rsidR="00FE00AD" w:rsidRPr="00971E07" w:rsidRDefault="00187A37">
    <w:pPr>
      <w:pStyle w:val="Ttulo6"/>
      <w:spacing w:line="360" w:lineRule="auto"/>
      <w:jc w:val="right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2168DE">
      <w:rPr>
        <w:sz w:val="20"/>
        <w:szCs w:val="20"/>
      </w:rPr>
      <w:t xml:space="preserve">Período: </w:t>
    </w:r>
    <w:r w:rsidR="00912CF7">
      <w:rPr>
        <w:sz w:val="20"/>
        <w:szCs w:val="20"/>
      </w:rPr>
      <w:t>1</w:t>
    </w:r>
    <w:r w:rsidR="003613A8">
      <w:rPr>
        <w:sz w:val="20"/>
        <w:szCs w:val="20"/>
      </w:rPr>
      <w:t>8</w:t>
    </w:r>
    <w:r w:rsidR="00E16E01" w:rsidRPr="00971E07">
      <w:rPr>
        <w:sz w:val="20"/>
        <w:szCs w:val="20"/>
      </w:rPr>
      <w:t xml:space="preserve"> a</w:t>
    </w:r>
    <w:r w:rsidR="00FE00AD" w:rsidRPr="00971E07">
      <w:rPr>
        <w:sz w:val="20"/>
        <w:szCs w:val="20"/>
      </w:rPr>
      <w:t xml:space="preserve"> </w:t>
    </w:r>
    <w:r w:rsidR="003613A8">
      <w:rPr>
        <w:sz w:val="20"/>
        <w:szCs w:val="20"/>
      </w:rPr>
      <w:t>24</w:t>
    </w:r>
    <w:r w:rsidR="00FE00AD" w:rsidRPr="00971E07">
      <w:rPr>
        <w:sz w:val="20"/>
        <w:szCs w:val="20"/>
      </w:rPr>
      <w:t xml:space="preserve"> de </w:t>
    </w:r>
    <w:r w:rsidR="00102C7C">
      <w:rPr>
        <w:sz w:val="20"/>
        <w:szCs w:val="20"/>
      </w:rPr>
      <w:t>fevereiro</w:t>
    </w:r>
    <w:r w:rsidR="00FE00AD" w:rsidRPr="00971E07">
      <w:rPr>
        <w:sz w:val="20"/>
        <w:szCs w:val="20"/>
      </w:rPr>
      <w:t xml:space="preserve"> de 20</w:t>
    </w:r>
    <w:r w:rsidR="00E16E01" w:rsidRPr="00971E07">
      <w:rPr>
        <w:sz w:val="20"/>
        <w:szCs w:val="20"/>
      </w:rPr>
      <w:t>1</w:t>
    </w:r>
    <w:r w:rsidR="00102C7C">
      <w:rPr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77.25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102C7C">
      <w:rPr>
        <w:b/>
        <w:sz w:val="40"/>
        <w:szCs w:val="40"/>
      </w:rPr>
      <w:t>7</w:t>
    </w:r>
    <w:r w:rsidR="004925AD">
      <w:rPr>
        <w:b/>
        <w:sz w:val="40"/>
        <w:szCs w:val="40"/>
      </w:rPr>
      <w:t>3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Pr="005D1DE4" w:rsidRDefault="00912CF7">
    <w:pPr>
      <w:pStyle w:val="Cabealho"/>
      <w:jc w:val="right"/>
    </w:pPr>
    <w:r>
      <w:rPr>
        <w:i/>
        <w:iCs/>
      </w:rPr>
      <w:t>Período: 1</w:t>
    </w:r>
    <w:r w:rsidR="004925AD">
      <w:rPr>
        <w:i/>
        <w:iCs/>
      </w:rPr>
      <w:t>8</w:t>
    </w:r>
    <w:r w:rsidR="00FE00AD" w:rsidRPr="005D1DE4">
      <w:rPr>
        <w:i/>
        <w:iCs/>
      </w:rPr>
      <w:t xml:space="preserve"> a </w:t>
    </w:r>
    <w:r w:rsidR="004925AD">
      <w:rPr>
        <w:i/>
        <w:iCs/>
      </w:rPr>
      <w:t>24</w:t>
    </w:r>
    <w:r w:rsidR="00FE00AD" w:rsidRPr="005D1DE4">
      <w:rPr>
        <w:i/>
        <w:iCs/>
      </w:rPr>
      <w:t xml:space="preserve"> de </w:t>
    </w:r>
    <w:r w:rsidR="00102C7C">
      <w:rPr>
        <w:i/>
        <w:iCs/>
      </w:rPr>
      <w:t xml:space="preserve">fevereiro </w:t>
    </w:r>
    <w:r w:rsidR="00FE00AD" w:rsidRPr="005D1DE4">
      <w:rPr>
        <w:i/>
        <w:iCs/>
      </w:rPr>
      <w:t>de 201</w:t>
    </w:r>
    <w:r w:rsidR="00102C7C">
      <w:rPr>
        <w:i/>
        <w:iCs/>
      </w:rPr>
      <w:t>4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468D0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E0A91"/>
    <w:rsid w:val="00102C7C"/>
    <w:rsid w:val="0011575C"/>
    <w:rsid w:val="0011692E"/>
    <w:rsid w:val="00137564"/>
    <w:rsid w:val="00137DC1"/>
    <w:rsid w:val="0015612D"/>
    <w:rsid w:val="00161616"/>
    <w:rsid w:val="00176D15"/>
    <w:rsid w:val="00184590"/>
    <w:rsid w:val="00187A37"/>
    <w:rsid w:val="0019151D"/>
    <w:rsid w:val="00193208"/>
    <w:rsid w:val="001C04D2"/>
    <w:rsid w:val="001C271F"/>
    <w:rsid w:val="001C6C93"/>
    <w:rsid w:val="001D4CF9"/>
    <w:rsid w:val="001D5AB0"/>
    <w:rsid w:val="001D757D"/>
    <w:rsid w:val="001E14BB"/>
    <w:rsid w:val="001E4B57"/>
    <w:rsid w:val="001E5BD1"/>
    <w:rsid w:val="001E713B"/>
    <w:rsid w:val="001F030F"/>
    <w:rsid w:val="00206810"/>
    <w:rsid w:val="002168DE"/>
    <w:rsid w:val="00224AC2"/>
    <w:rsid w:val="0023559D"/>
    <w:rsid w:val="002402B0"/>
    <w:rsid w:val="002449F9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3397A"/>
    <w:rsid w:val="00352B27"/>
    <w:rsid w:val="003613A8"/>
    <w:rsid w:val="0036325E"/>
    <w:rsid w:val="003671FE"/>
    <w:rsid w:val="003708FD"/>
    <w:rsid w:val="0037667D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2772A"/>
    <w:rsid w:val="004323B0"/>
    <w:rsid w:val="00444E88"/>
    <w:rsid w:val="0045657C"/>
    <w:rsid w:val="004655CC"/>
    <w:rsid w:val="00466DB9"/>
    <w:rsid w:val="00474B85"/>
    <w:rsid w:val="00486521"/>
    <w:rsid w:val="00486DFC"/>
    <w:rsid w:val="004922D6"/>
    <w:rsid w:val="004925AD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53197"/>
    <w:rsid w:val="0055409E"/>
    <w:rsid w:val="00556367"/>
    <w:rsid w:val="00556B35"/>
    <w:rsid w:val="00573E13"/>
    <w:rsid w:val="00584F82"/>
    <w:rsid w:val="00591DFA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145AC"/>
    <w:rsid w:val="00615F98"/>
    <w:rsid w:val="00621F9C"/>
    <w:rsid w:val="00631166"/>
    <w:rsid w:val="00631F1C"/>
    <w:rsid w:val="006366A4"/>
    <w:rsid w:val="006456B1"/>
    <w:rsid w:val="006564EC"/>
    <w:rsid w:val="0066084C"/>
    <w:rsid w:val="00662D39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F6C15"/>
    <w:rsid w:val="0070727E"/>
    <w:rsid w:val="00710D3A"/>
    <w:rsid w:val="0071315F"/>
    <w:rsid w:val="00721942"/>
    <w:rsid w:val="00722BE7"/>
    <w:rsid w:val="00732DF2"/>
    <w:rsid w:val="00741541"/>
    <w:rsid w:val="007614F1"/>
    <w:rsid w:val="007618C5"/>
    <w:rsid w:val="00764066"/>
    <w:rsid w:val="00776118"/>
    <w:rsid w:val="007B0F83"/>
    <w:rsid w:val="007C275A"/>
    <w:rsid w:val="007D29A1"/>
    <w:rsid w:val="007E0EA7"/>
    <w:rsid w:val="007E3F23"/>
    <w:rsid w:val="007F142E"/>
    <w:rsid w:val="007F7B5E"/>
    <w:rsid w:val="00802B1A"/>
    <w:rsid w:val="0080615C"/>
    <w:rsid w:val="0081027F"/>
    <w:rsid w:val="0081742D"/>
    <w:rsid w:val="00821F4D"/>
    <w:rsid w:val="00823906"/>
    <w:rsid w:val="00825153"/>
    <w:rsid w:val="008409D3"/>
    <w:rsid w:val="00845559"/>
    <w:rsid w:val="00854DB8"/>
    <w:rsid w:val="00854EF2"/>
    <w:rsid w:val="00863B86"/>
    <w:rsid w:val="00871F69"/>
    <w:rsid w:val="008842D0"/>
    <w:rsid w:val="00884AC4"/>
    <w:rsid w:val="0088579D"/>
    <w:rsid w:val="008A7953"/>
    <w:rsid w:val="008B3081"/>
    <w:rsid w:val="008B32D4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12CF7"/>
    <w:rsid w:val="0093467A"/>
    <w:rsid w:val="0094155C"/>
    <w:rsid w:val="00951531"/>
    <w:rsid w:val="00960A3B"/>
    <w:rsid w:val="00967DE0"/>
    <w:rsid w:val="00971E07"/>
    <w:rsid w:val="00980944"/>
    <w:rsid w:val="009857BB"/>
    <w:rsid w:val="00986D77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21A2"/>
    <w:rsid w:val="00A32FBF"/>
    <w:rsid w:val="00A407EA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6EB9"/>
    <w:rsid w:val="00B22F24"/>
    <w:rsid w:val="00B22F53"/>
    <w:rsid w:val="00B24DBE"/>
    <w:rsid w:val="00B34EB2"/>
    <w:rsid w:val="00B517C3"/>
    <w:rsid w:val="00B518B2"/>
    <w:rsid w:val="00B526EA"/>
    <w:rsid w:val="00B536FE"/>
    <w:rsid w:val="00B73FFA"/>
    <w:rsid w:val="00B874F1"/>
    <w:rsid w:val="00BC1DE7"/>
    <w:rsid w:val="00BC5AEE"/>
    <w:rsid w:val="00BD6029"/>
    <w:rsid w:val="00BE0541"/>
    <w:rsid w:val="00BE1ADB"/>
    <w:rsid w:val="00C070DE"/>
    <w:rsid w:val="00C26DFB"/>
    <w:rsid w:val="00C273FA"/>
    <w:rsid w:val="00C30D06"/>
    <w:rsid w:val="00C42067"/>
    <w:rsid w:val="00C432D0"/>
    <w:rsid w:val="00C4398E"/>
    <w:rsid w:val="00C60B4A"/>
    <w:rsid w:val="00C65BDB"/>
    <w:rsid w:val="00C71A3B"/>
    <w:rsid w:val="00C76CFA"/>
    <w:rsid w:val="00C963F8"/>
    <w:rsid w:val="00C96BB1"/>
    <w:rsid w:val="00CA2F80"/>
    <w:rsid w:val="00CB0C2A"/>
    <w:rsid w:val="00CB23A5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33C8"/>
    <w:rsid w:val="00D14DB8"/>
    <w:rsid w:val="00D244D5"/>
    <w:rsid w:val="00D2776A"/>
    <w:rsid w:val="00D3586A"/>
    <w:rsid w:val="00D413DB"/>
    <w:rsid w:val="00D420E2"/>
    <w:rsid w:val="00D4459D"/>
    <w:rsid w:val="00D573F9"/>
    <w:rsid w:val="00D6058B"/>
    <w:rsid w:val="00D63EC5"/>
    <w:rsid w:val="00D72C05"/>
    <w:rsid w:val="00D847CF"/>
    <w:rsid w:val="00DA0A99"/>
    <w:rsid w:val="00DA7603"/>
    <w:rsid w:val="00DA7E39"/>
    <w:rsid w:val="00DA7EDE"/>
    <w:rsid w:val="00DC0AB5"/>
    <w:rsid w:val="00DC50EB"/>
    <w:rsid w:val="00DD3FA0"/>
    <w:rsid w:val="00DE5B2D"/>
    <w:rsid w:val="00DE5CE9"/>
    <w:rsid w:val="00E03064"/>
    <w:rsid w:val="00E04BD5"/>
    <w:rsid w:val="00E05A28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9503C"/>
    <w:rsid w:val="00E956D9"/>
    <w:rsid w:val="00EA1958"/>
    <w:rsid w:val="00EA29F5"/>
    <w:rsid w:val="00EA482D"/>
    <w:rsid w:val="00EB5FE6"/>
    <w:rsid w:val="00EB61A5"/>
    <w:rsid w:val="00EB7A09"/>
    <w:rsid w:val="00EC5AF4"/>
    <w:rsid w:val="00ED661C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511EE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C56A4"/>
    <w:rsid w:val="00FD3D06"/>
    <w:rsid w:val="00FD5662"/>
    <w:rsid w:val="00FD72B6"/>
    <w:rsid w:val="00FE00AD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129500&amp;digitoTst=74&amp;anoTst=2010&amp;orgaoTst=5&amp;tribunalTst=17&amp;varaTst=000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licacao5.tst.jus.br/consultaProcessual/consultaTstNumUnica.do?consulta=Consultar&amp;conscsjt=&amp;numeroTst=118400&amp;digitoTst=96&amp;anoTst=2006&amp;orgaoTst=5&amp;tribunalTst=10&amp;varaTst=0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1928&amp;digitoTst=03&amp;anoTst=2010&amp;orgaoTst=5&amp;tribunalTst=06&amp;varaTst=024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5A59-6EEE-469E-8880-72682E54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4770</CharactersWithSpaces>
  <SharedDoc>false</SharedDoc>
  <HLinks>
    <vt:vector size="18" baseType="variant">
      <vt:variant>
        <vt:i4>5242949</vt:i4>
      </vt:variant>
      <vt:variant>
        <vt:i4>6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https://aplicacao5.tst.jus.br/consultaProcessual/consultaTstNumUnica.do?consulta=Consultar&amp;conscsjt=&amp;numeroTst=118400&amp;digitoTst=96&amp;anoTst=2006&amp;orgaoTst=5&amp;tribunalTst=10&amp;varaTst=0021</vt:lpwstr>
      </vt:variant>
      <vt:variant>
        <vt:lpwstr/>
      </vt:variant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https://aplicacao5.tst.jus.br/consultaProcessual/consultaTstNumUnica.do?consulta=Consultar&amp;conscsjt=&amp;numeroTst=1928&amp;digitoTst=03&amp;anoTst=2010&amp;orgaoTst=5&amp;tribunalTst=06&amp;varaTst=0241</vt:lpwstr>
      </vt:variant>
      <vt:variant>
        <vt:lpwstr/>
      </vt:variant>
      <vt:variant>
        <vt:i4>5242952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https://aplicacao5.tst.jus.br/consultaProcessual/consultaTstNumUnica.do?consulta=Consultar&amp;conscsjt=&amp;numeroTst=129500&amp;digitoTst=74&amp;anoTst=2010&amp;orgaoTst=5&amp;tribunalTst=17&amp;varaTst=0001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2012-03-09T15:01:00Z</cp:lastPrinted>
  <dcterms:created xsi:type="dcterms:W3CDTF">2018-06-27T21:47:00Z</dcterms:created>
  <dcterms:modified xsi:type="dcterms:W3CDTF">2018-06-27T21:47:00Z</dcterms:modified>
</cp:coreProperties>
</file>