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49" w:rsidRPr="007A23CC" w:rsidRDefault="00A51749">
      <w:pPr>
        <w:rPr>
          <w:sz w:val="10"/>
          <w:szCs w:val="10"/>
        </w:rPr>
      </w:pPr>
      <w:bookmarkStart w:id="0" w:name="_GoBack"/>
      <w:bookmarkEnd w:id="0"/>
    </w:p>
    <w:tbl>
      <w:tblPr>
        <w:tblW w:w="9709" w:type="dxa"/>
        <w:tblInd w:w="70" w:type="dxa"/>
        <w:tblLayout w:type="fixed"/>
        <w:tblCellMar>
          <w:left w:w="70" w:type="dxa"/>
          <w:right w:w="70" w:type="dxa"/>
        </w:tblCellMar>
        <w:tblLook w:val="0000" w:firstRow="0" w:lastRow="0" w:firstColumn="0" w:lastColumn="0" w:noHBand="0" w:noVBand="0"/>
      </w:tblPr>
      <w:tblGrid>
        <w:gridCol w:w="9709"/>
      </w:tblGrid>
      <w:tr w:rsidR="00C26DFB" w:rsidRPr="00187A37" w:rsidTr="00631F1C">
        <w:tblPrEx>
          <w:tblCellMar>
            <w:top w:w="0" w:type="dxa"/>
            <w:bottom w:w="0" w:type="dxa"/>
          </w:tblCellMar>
        </w:tblPrEx>
        <w:trPr>
          <w:trHeight w:val="792"/>
        </w:trPr>
        <w:tc>
          <w:tcPr>
            <w:tcW w:w="9709"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0228E6"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left"/>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ab/>
      </w:r>
      <w:r w:rsidR="000228E6" w:rsidRPr="00971E07">
        <w:rPr>
          <w:rFonts w:ascii="Times New Roman" w:hAnsi="Times New Roman" w:cs="Times New Roman"/>
          <w:b/>
          <w:bCs/>
          <w:shadow/>
          <w:color w:val="auto"/>
          <w:sz w:val="26"/>
          <w:szCs w:val="26"/>
          <w:lang w:val="pt-BR"/>
        </w:rPr>
        <w:t>ÓRGÃO ESPECIAL</w:t>
      </w:r>
      <w:r>
        <w:rPr>
          <w:rFonts w:ascii="Times New Roman" w:hAnsi="Times New Roman" w:cs="Times New Roman"/>
          <w:b/>
          <w:bCs/>
          <w:shadow/>
          <w:color w:val="auto"/>
          <w:sz w:val="26"/>
          <w:szCs w:val="26"/>
          <w:lang w:val="pt-BR"/>
        </w:rPr>
        <w:tab/>
      </w:r>
    </w:p>
    <w:p w:rsidR="000228E6" w:rsidRPr="005D1DE4" w:rsidRDefault="000228E6" w:rsidP="00EA29F5">
      <w:pPr>
        <w:pStyle w:val="Corpodetexto2"/>
        <w:jc w:val="center"/>
        <w:rPr>
          <w:b/>
          <w:bCs/>
          <w:emboss/>
          <w:sz w:val="10"/>
          <w:szCs w:val="10"/>
        </w:rPr>
      </w:pPr>
    </w:p>
    <w:p w:rsidR="00185D33" w:rsidRPr="00CF4F60" w:rsidRDefault="00185D33" w:rsidP="00185D33">
      <w:pPr>
        <w:pStyle w:val="Corpo"/>
        <w:spacing w:line="240" w:lineRule="auto"/>
        <w:ind w:firstLine="0"/>
        <w:rPr>
          <w:rFonts w:ascii="Times New Roman" w:hAnsi="Times New Roman"/>
          <w:b/>
          <w:bCs/>
          <w:i/>
          <w:iCs/>
          <w:lang w:val="pt-BR"/>
        </w:rPr>
      </w:pPr>
      <w:r w:rsidRPr="00185D33">
        <w:rPr>
          <w:rFonts w:ascii="Times New Roman" w:hAnsi="Times New Roman" w:cs="Times New Roman"/>
          <w:b/>
          <w:bCs/>
          <w:i/>
          <w:iCs/>
          <w:lang w:val="pt-BR"/>
        </w:rPr>
        <w:t>Processo administrativo disciplinar contra magistrado. Legitimidade e interesse recursal da parte representante. Direito de petição. Aplicação dos arts. 9º, I e IV, e 58, I e IV, da Lei n.º 9.784/99, à luz do art. 5º, XXIV, “a”, da CF</w:t>
      </w:r>
      <w:r>
        <w:rPr>
          <w:rFonts w:ascii="Times New Roman" w:hAnsi="Times New Roman"/>
          <w:b/>
          <w:bCs/>
          <w:i/>
          <w:iCs/>
          <w:lang w:val="pt-BR"/>
        </w:rPr>
        <w:t>.</w:t>
      </w:r>
    </w:p>
    <w:p w:rsidR="00185D33" w:rsidRDefault="00185D33" w:rsidP="00185D33">
      <w:pPr>
        <w:pStyle w:val="Ementa"/>
        <w:ind w:left="0"/>
        <w:rPr>
          <w:rFonts w:ascii="Times New Roman" w:hAnsi="Times New Roman"/>
          <w:bCs/>
          <w:iCs/>
          <w:color w:val="000000"/>
          <w:sz w:val="22"/>
          <w:szCs w:val="22"/>
          <w:u w:val="single"/>
          <w:lang w:val="pt-BR"/>
        </w:rPr>
      </w:pPr>
      <w:r w:rsidRPr="00185D33">
        <w:rPr>
          <w:rFonts w:ascii="Times New Roman" w:hAnsi="Times New Roman" w:cs="Times New Roman"/>
          <w:bCs/>
          <w:iCs/>
          <w:color w:val="000000"/>
          <w:lang w:val="pt-BR"/>
        </w:rPr>
        <w:t>Possui legitimidade e interesse para recorrer de decisão proferida em sede de processo administrativo disciplinar contra magistrado aquele que, ao exercer o direito de petição, levou ao conhecimento do órgão disciplinar os fatos que foram objeto de apuração, podendo ainda se manifestar sobre os atos processuais sempre que entender necessário, bem assim produzir provas que demonstrem as irregularidades apontadas. Aplicação dos arts. 9º, I e IV, e 58, I e IV, da Lei n.º 9.784/99, à luz do art. 5º, XXIV, “a”, da Constituição da República. Com esse entendimento, o Órgão Especial, por unanimidade, reformou decisão que denegava seguimento a recurso administrativo interposto pela autora de representação contra juiz do Trabalho, determinando seu prosseguimento.</w:t>
      </w:r>
      <w:r w:rsidRPr="00CF4F60">
        <w:rPr>
          <w:rFonts w:ascii="Times New Roman" w:hAnsi="Times New Roman"/>
          <w:bCs/>
          <w:iCs/>
          <w:color w:val="000000"/>
          <w:sz w:val="22"/>
          <w:szCs w:val="22"/>
          <w:lang w:val="pt-BR"/>
        </w:rPr>
        <w:t xml:space="preserve"> </w:t>
      </w:r>
      <w:hyperlink r:id="rId8" w:history="1">
        <w:r w:rsidRPr="00520CE1">
          <w:rPr>
            <w:rStyle w:val="Hyperlink"/>
            <w:rFonts w:ascii="Times New Roman" w:hAnsi="Times New Roman"/>
            <w:bCs/>
            <w:iCs/>
            <w:lang w:val="pt-BR"/>
          </w:rPr>
          <w:t>TST-Pet-7873-46.2011.5.00.0000</w:t>
        </w:r>
      </w:hyperlink>
      <w:r w:rsidRPr="00520CE1">
        <w:rPr>
          <w:rFonts w:ascii="Times New Roman" w:hAnsi="Times New Roman" w:cs="Times New Roman"/>
          <w:bCs/>
          <w:iCs/>
          <w:color w:val="000000"/>
          <w:u w:val="single"/>
          <w:lang w:val="pt-BR"/>
        </w:rPr>
        <w:t>, Órgão Especial, rel. Min. Dora Maria da Costa</w:t>
      </w:r>
      <w:r w:rsidR="00520CE1">
        <w:rPr>
          <w:rFonts w:ascii="Times New Roman" w:hAnsi="Times New Roman" w:cs="Times New Roman"/>
          <w:bCs/>
          <w:iCs/>
          <w:color w:val="000000"/>
          <w:u w:val="single"/>
          <w:lang w:val="pt-BR"/>
        </w:rPr>
        <w:t>,</w:t>
      </w:r>
      <w:r w:rsidRPr="00520CE1">
        <w:rPr>
          <w:rFonts w:ascii="Times New Roman" w:hAnsi="Times New Roman" w:cs="Times New Roman"/>
          <w:bCs/>
          <w:iCs/>
          <w:color w:val="000000"/>
          <w:u w:val="single"/>
          <w:lang w:val="pt-BR"/>
        </w:rPr>
        <w:t xml:space="preserve"> 8.5.2012.</w:t>
      </w:r>
    </w:p>
    <w:p w:rsidR="00C71A3B" w:rsidRPr="007A23CC" w:rsidRDefault="00C71A3B" w:rsidP="00F82D8F">
      <w:pPr>
        <w:pStyle w:val="Corpo"/>
        <w:spacing w:line="240" w:lineRule="auto"/>
        <w:ind w:firstLine="0"/>
        <w:rPr>
          <w:rFonts w:ascii="Times New Roman" w:hAnsi="Times New Roman" w:cs="Times New Roman"/>
          <w:b/>
          <w:bCs/>
          <w:shadow/>
          <w:color w:val="auto"/>
          <w:sz w:val="10"/>
          <w:szCs w:val="10"/>
          <w:lang w:val="pt-BR"/>
        </w:rPr>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FE00AD" w:rsidRPr="005D1DE4" w:rsidRDefault="00FE00AD" w:rsidP="00F82D8F">
      <w:pPr>
        <w:pStyle w:val="Corpodetexto2"/>
        <w:jc w:val="center"/>
        <w:rPr>
          <w:b/>
          <w:bCs/>
          <w:emboss/>
          <w:sz w:val="10"/>
          <w:szCs w:val="10"/>
        </w:rPr>
      </w:pPr>
    </w:p>
    <w:p w:rsidR="00185D33" w:rsidRPr="00CE0616" w:rsidRDefault="00185D33" w:rsidP="00185D33">
      <w:pPr>
        <w:jc w:val="both"/>
        <w:rPr>
          <w:b/>
          <w:i/>
          <w:sz w:val="24"/>
          <w:szCs w:val="24"/>
        </w:rPr>
      </w:pPr>
      <w:r w:rsidRPr="00CE0616">
        <w:rPr>
          <w:b/>
          <w:i/>
          <w:sz w:val="24"/>
          <w:szCs w:val="24"/>
        </w:rPr>
        <w:t xml:space="preserve">Gratificação de </w:t>
      </w:r>
      <w:r>
        <w:rPr>
          <w:b/>
          <w:i/>
          <w:sz w:val="24"/>
          <w:szCs w:val="24"/>
        </w:rPr>
        <w:t>f</w:t>
      </w:r>
      <w:r w:rsidRPr="00CE0616">
        <w:rPr>
          <w:b/>
          <w:i/>
          <w:sz w:val="24"/>
          <w:szCs w:val="24"/>
        </w:rPr>
        <w:t>unção. Exercício por mais de dez anos. Períodos descontínuos</w:t>
      </w:r>
      <w:r>
        <w:rPr>
          <w:b/>
          <w:i/>
          <w:sz w:val="24"/>
          <w:szCs w:val="24"/>
        </w:rPr>
        <w:t>.</w:t>
      </w:r>
      <w:r w:rsidRPr="00CE0616">
        <w:rPr>
          <w:b/>
          <w:i/>
          <w:sz w:val="24"/>
          <w:szCs w:val="24"/>
        </w:rPr>
        <w:t xml:space="preserve"> Aplicação da Súmula nº 372, I, do TST. </w:t>
      </w:r>
      <w:r>
        <w:rPr>
          <w:b/>
          <w:i/>
          <w:sz w:val="24"/>
          <w:szCs w:val="24"/>
        </w:rPr>
        <w:t>P</w:t>
      </w:r>
      <w:r w:rsidRPr="00CE0616">
        <w:rPr>
          <w:b/>
          <w:i/>
          <w:sz w:val="24"/>
          <w:szCs w:val="24"/>
        </w:rPr>
        <w:t>rincípio da estabilidade financeira.</w:t>
      </w:r>
    </w:p>
    <w:p w:rsidR="00185D33" w:rsidRPr="00CE0616" w:rsidRDefault="00185D33" w:rsidP="00185D33">
      <w:pPr>
        <w:jc w:val="both"/>
        <w:rPr>
          <w:sz w:val="24"/>
          <w:szCs w:val="24"/>
        </w:rPr>
      </w:pPr>
      <w:r w:rsidRPr="00CE0616">
        <w:rPr>
          <w:sz w:val="24"/>
          <w:szCs w:val="24"/>
        </w:rPr>
        <w:t xml:space="preserve">O exercício de cargo de confiança em períodos descontínuos, mas que perfizeram um período superior a </w:t>
      </w:r>
      <w:r>
        <w:rPr>
          <w:sz w:val="24"/>
          <w:szCs w:val="24"/>
        </w:rPr>
        <w:t>dez</w:t>
      </w:r>
      <w:r w:rsidRPr="00CE0616">
        <w:rPr>
          <w:sz w:val="24"/>
          <w:szCs w:val="24"/>
        </w:rPr>
        <w:t xml:space="preserve"> anos, não afasta, por si só, o reconhecimento do direito à estabilidade financeira abraçada pela Súmula nº 372, I, do TST. Cabe ao julgador, diante do quadro fático delineado nos autos, decidir sobre a licitude da exclusão da gratificação de função percebida</w:t>
      </w:r>
      <w:r>
        <w:rPr>
          <w:sz w:val="24"/>
          <w:szCs w:val="24"/>
        </w:rPr>
        <w:t>, à luz do princípio da estabilidade financeira</w:t>
      </w:r>
      <w:r w:rsidRPr="00CE0616">
        <w:rPr>
          <w:sz w:val="24"/>
          <w:szCs w:val="24"/>
        </w:rPr>
        <w:t>. Assim, na hipótese</w:t>
      </w:r>
      <w:r>
        <w:rPr>
          <w:sz w:val="24"/>
          <w:szCs w:val="24"/>
        </w:rPr>
        <w:t>, o fato de</w:t>
      </w:r>
      <w:r w:rsidRPr="00CE0616">
        <w:rPr>
          <w:sz w:val="24"/>
          <w:szCs w:val="24"/>
        </w:rPr>
        <w:t xml:space="preserve"> o empregado te</w:t>
      </w:r>
      <w:r>
        <w:rPr>
          <w:sz w:val="24"/>
          <w:szCs w:val="24"/>
        </w:rPr>
        <w:t>r</w:t>
      </w:r>
      <w:r w:rsidRPr="00CE0616">
        <w:rPr>
          <w:sz w:val="24"/>
          <w:szCs w:val="24"/>
        </w:rPr>
        <w:t xml:space="preserve"> exercido funções distintas ao longo de</w:t>
      </w:r>
      <w:r>
        <w:rPr>
          <w:sz w:val="24"/>
          <w:szCs w:val="24"/>
        </w:rPr>
        <w:t xml:space="preserve"> doze anos</w:t>
      </w:r>
      <w:r w:rsidRPr="00CE0616">
        <w:rPr>
          <w:sz w:val="24"/>
          <w:szCs w:val="24"/>
        </w:rPr>
        <w:t>, percebendo gratificações de valores variados, e te</w:t>
      </w:r>
      <w:r>
        <w:rPr>
          <w:sz w:val="24"/>
          <w:szCs w:val="24"/>
        </w:rPr>
        <w:t>r</w:t>
      </w:r>
      <w:r w:rsidRPr="00CE0616">
        <w:rPr>
          <w:sz w:val="24"/>
          <w:szCs w:val="24"/>
        </w:rPr>
        <w:t xml:space="preserve"> um decurso de quase </w:t>
      </w:r>
      <w:r>
        <w:rPr>
          <w:sz w:val="24"/>
          <w:szCs w:val="24"/>
        </w:rPr>
        <w:t>dois</w:t>
      </w:r>
      <w:r w:rsidRPr="00CE0616">
        <w:rPr>
          <w:sz w:val="24"/>
          <w:szCs w:val="24"/>
        </w:rPr>
        <w:t xml:space="preserve"> anos ininterruptos sem percepção de função, </w:t>
      </w:r>
      <w:r>
        <w:rPr>
          <w:sz w:val="24"/>
          <w:szCs w:val="24"/>
        </w:rPr>
        <w:t>não afasta o direito</w:t>
      </w:r>
      <w:r w:rsidRPr="00CE0616">
        <w:rPr>
          <w:sz w:val="24"/>
          <w:szCs w:val="24"/>
        </w:rPr>
        <w:t xml:space="preserve"> à incorporação da gratificação. Com esse entendimento, a SBDI-I, por maioria, conheceu dos embargos, por divergência</w:t>
      </w:r>
      <w:r>
        <w:rPr>
          <w:sz w:val="24"/>
          <w:szCs w:val="24"/>
        </w:rPr>
        <w:t xml:space="preserve"> jurisprudencial</w:t>
      </w:r>
      <w:r w:rsidRPr="00CE0616">
        <w:rPr>
          <w:sz w:val="24"/>
          <w:szCs w:val="24"/>
        </w:rPr>
        <w:t>, vencido o Ministro João Oreste Dalazen</w:t>
      </w:r>
      <w:r>
        <w:rPr>
          <w:sz w:val="24"/>
          <w:szCs w:val="24"/>
        </w:rPr>
        <w:t>, e, n</w:t>
      </w:r>
      <w:r w:rsidRPr="00CE0616">
        <w:rPr>
          <w:sz w:val="24"/>
          <w:szCs w:val="24"/>
        </w:rPr>
        <w:t>o mérito, ainda por maioria, vencidos os Ministros Ives Gandra Martins Filho e Maria Cristina Peduzzi, deu provimento ao recurso para restabelecer amplamente a decisão do TRT</w:t>
      </w:r>
      <w:r>
        <w:rPr>
          <w:sz w:val="24"/>
          <w:szCs w:val="24"/>
        </w:rPr>
        <w:t>, no particular</w:t>
      </w:r>
      <w:r w:rsidRPr="00CE0616">
        <w:rPr>
          <w:sz w:val="24"/>
          <w:szCs w:val="24"/>
        </w:rPr>
        <w:t xml:space="preserve">. </w:t>
      </w:r>
      <w:hyperlink r:id="rId9" w:history="1">
        <w:r w:rsidRPr="00520CE1">
          <w:rPr>
            <w:rStyle w:val="Hyperlink"/>
            <w:sz w:val="24"/>
            <w:szCs w:val="24"/>
          </w:rPr>
          <w:t>TST-E-RR-124740-57.2003.5.01.0071</w:t>
        </w:r>
      </w:hyperlink>
      <w:r w:rsidRPr="00CE0616">
        <w:rPr>
          <w:sz w:val="24"/>
          <w:szCs w:val="24"/>
          <w:u w:val="single"/>
        </w:rPr>
        <w:t>, SBDI-I, rel. Min. L</w:t>
      </w:r>
      <w:r>
        <w:rPr>
          <w:sz w:val="24"/>
          <w:szCs w:val="24"/>
          <w:u w:val="single"/>
        </w:rPr>
        <w:t>e</w:t>
      </w:r>
      <w:r w:rsidRPr="00CE0616">
        <w:rPr>
          <w:sz w:val="24"/>
          <w:szCs w:val="24"/>
          <w:u w:val="single"/>
        </w:rPr>
        <w:t>lio Bentes Corr</w:t>
      </w:r>
      <w:r>
        <w:rPr>
          <w:sz w:val="24"/>
          <w:szCs w:val="24"/>
          <w:u w:val="single"/>
        </w:rPr>
        <w:t>ê</w:t>
      </w:r>
      <w:r w:rsidRPr="00CE0616">
        <w:rPr>
          <w:sz w:val="24"/>
          <w:szCs w:val="24"/>
          <w:u w:val="single"/>
        </w:rPr>
        <w:t>a, 3.5.2012.</w:t>
      </w:r>
      <w:r w:rsidRPr="00CE0616">
        <w:rPr>
          <w:sz w:val="24"/>
          <w:szCs w:val="24"/>
        </w:rPr>
        <w:t xml:space="preserve">    </w:t>
      </w:r>
    </w:p>
    <w:p w:rsidR="00185D33" w:rsidRPr="007A23CC" w:rsidRDefault="00185D33" w:rsidP="002C2904">
      <w:pPr>
        <w:ind w:right="-71"/>
        <w:jc w:val="both"/>
        <w:rPr>
          <w:sz w:val="10"/>
          <w:szCs w:val="10"/>
        </w:rPr>
      </w:pPr>
    </w:p>
    <w:p w:rsidR="00185D33" w:rsidRPr="003E5EDA" w:rsidRDefault="00185D33" w:rsidP="00185D33">
      <w:pPr>
        <w:pStyle w:val="Default"/>
        <w:jc w:val="both"/>
        <w:rPr>
          <w:b/>
          <w:i/>
          <w:color w:val="auto"/>
        </w:rPr>
      </w:pPr>
      <w:r w:rsidRPr="003E5EDA">
        <w:rPr>
          <w:b/>
          <w:i/>
          <w:color w:val="auto"/>
        </w:rPr>
        <w:t>Dano moral</w:t>
      </w:r>
      <w:r>
        <w:rPr>
          <w:b/>
          <w:i/>
          <w:color w:val="auto"/>
        </w:rPr>
        <w:t xml:space="preserve">. Configuração. Imputação de ato de improbidade. </w:t>
      </w:r>
      <w:r w:rsidRPr="003E5EDA">
        <w:rPr>
          <w:b/>
          <w:i/>
          <w:color w:val="auto"/>
        </w:rPr>
        <w:t xml:space="preserve"> Descaracterização da justa causa em juízo. </w:t>
      </w:r>
    </w:p>
    <w:p w:rsidR="00185D33" w:rsidRPr="0013118A" w:rsidRDefault="00185D33" w:rsidP="00185D33">
      <w:pPr>
        <w:jc w:val="both"/>
        <w:rPr>
          <w:sz w:val="24"/>
          <w:szCs w:val="24"/>
          <w:u w:val="single"/>
        </w:rPr>
      </w:pPr>
      <w:r w:rsidRPr="003E5EDA">
        <w:rPr>
          <w:sz w:val="24"/>
          <w:szCs w:val="24"/>
        </w:rPr>
        <w:t>A descaracterização da despedida por justa causa em juízo, quando imputado ato de improbidade ao empregado (alínea “a” do art. 482 da CLT), gera direito a indenização por dano moral porquanto se verifica ofensa à honra subjetiva do trabalhador. Com esse entendimento a S</w:t>
      </w:r>
      <w:r>
        <w:rPr>
          <w:sz w:val="24"/>
          <w:szCs w:val="24"/>
        </w:rPr>
        <w:t>B</w:t>
      </w:r>
      <w:r w:rsidRPr="003E5EDA">
        <w:rPr>
          <w:sz w:val="24"/>
          <w:szCs w:val="24"/>
        </w:rPr>
        <w:t xml:space="preserve">DI-I, por </w:t>
      </w:r>
      <w:r>
        <w:rPr>
          <w:sz w:val="24"/>
          <w:szCs w:val="24"/>
        </w:rPr>
        <w:t xml:space="preserve">unanimidade, conheceu dos embargos, por divergência jurisprudencial, e, no mérito, por </w:t>
      </w:r>
      <w:r w:rsidRPr="003E5EDA">
        <w:rPr>
          <w:sz w:val="24"/>
          <w:szCs w:val="24"/>
        </w:rPr>
        <w:t>maioria, negou</w:t>
      </w:r>
      <w:r>
        <w:rPr>
          <w:sz w:val="24"/>
          <w:szCs w:val="24"/>
        </w:rPr>
        <w:t>-lhes</w:t>
      </w:r>
      <w:r w:rsidRPr="003E5EDA">
        <w:rPr>
          <w:sz w:val="24"/>
          <w:szCs w:val="24"/>
        </w:rPr>
        <w:t xml:space="preserve"> provimento</w:t>
      </w:r>
      <w:r>
        <w:rPr>
          <w:sz w:val="24"/>
          <w:szCs w:val="24"/>
        </w:rPr>
        <w:t xml:space="preserve">, vencidos os Ministros Ives Gandra Martins Filho, relator, Brito Pereira e Maria Cristina Peduzzi. Na espécie, consignou-se que a falta (entrega de mercadoria a clientes sem receber o respectivo pagamento, em desacordo com as normas internas da empresa) não foi suficientemente grave para ensejar a imputação de ato de improbidade, principalmente em razão de o empregado, uma vez detectado o desfalque, ter ressarcido a empresa, não gerando qualquer dano </w:t>
      </w:r>
      <w:r>
        <w:rPr>
          <w:sz w:val="24"/>
          <w:szCs w:val="24"/>
        </w:rPr>
        <w:lastRenderedPageBreak/>
        <w:t xml:space="preserve">patrimonial ao empregador. </w:t>
      </w:r>
      <w:hyperlink r:id="rId10" w:history="1">
        <w:r w:rsidRPr="00520CE1">
          <w:rPr>
            <w:rStyle w:val="Hyperlink"/>
            <w:sz w:val="24"/>
            <w:szCs w:val="24"/>
          </w:rPr>
          <w:t>TST-E-RR-20500-90.2003.5.07.0025</w:t>
        </w:r>
      </w:hyperlink>
      <w:r>
        <w:rPr>
          <w:sz w:val="24"/>
          <w:szCs w:val="24"/>
          <w:u w:val="single"/>
        </w:rPr>
        <w:t xml:space="preserve">, SBDI-I, </w:t>
      </w:r>
      <w:r w:rsidRPr="0013118A">
        <w:rPr>
          <w:sz w:val="24"/>
          <w:szCs w:val="24"/>
          <w:u w:val="single"/>
        </w:rPr>
        <w:t xml:space="preserve"> rel. Min. </w:t>
      </w:r>
      <w:r>
        <w:rPr>
          <w:sz w:val="24"/>
          <w:szCs w:val="24"/>
          <w:u w:val="single"/>
        </w:rPr>
        <w:t>Ives Gandra da Silva Martins Filho, red. p/ acórdão Min. José Roberto Freire Pimenta</w:t>
      </w:r>
      <w:r w:rsidRPr="0013118A">
        <w:rPr>
          <w:sz w:val="24"/>
          <w:szCs w:val="24"/>
          <w:u w:val="single"/>
        </w:rPr>
        <w:t xml:space="preserve">, </w:t>
      </w:r>
      <w:r>
        <w:rPr>
          <w:sz w:val="24"/>
          <w:szCs w:val="24"/>
          <w:u w:val="single"/>
        </w:rPr>
        <w:t>3.5.2012</w:t>
      </w:r>
      <w:r w:rsidRPr="0013118A">
        <w:rPr>
          <w:sz w:val="24"/>
          <w:szCs w:val="24"/>
          <w:u w:val="single"/>
        </w:rPr>
        <w:t>.</w:t>
      </w:r>
    </w:p>
    <w:p w:rsidR="00185D33" w:rsidRPr="007A23CC" w:rsidRDefault="00185D33" w:rsidP="002C2904">
      <w:pPr>
        <w:ind w:right="-71"/>
        <w:jc w:val="both"/>
        <w:rPr>
          <w:sz w:val="10"/>
          <w:szCs w:val="10"/>
        </w:rPr>
      </w:pPr>
    </w:p>
    <w:p w:rsidR="007A23CC" w:rsidRPr="00777924" w:rsidRDefault="007A23CC" w:rsidP="007A23CC">
      <w:pPr>
        <w:pStyle w:val="Ementa"/>
        <w:ind w:left="0"/>
        <w:rPr>
          <w:rFonts w:ascii="Times New Roman" w:eastAsia="Calibri" w:hAnsi="Times New Roman"/>
          <w:b/>
          <w:i/>
          <w:color w:val="auto"/>
          <w:lang w:val="pt-BR" w:eastAsia="en-US"/>
        </w:rPr>
      </w:pPr>
      <w:r w:rsidRPr="00777924">
        <w:rPr>
          <w:rFonts w:ascii="Times New Roman" w:eastAsia="Calibri" w:hAnsi="Times New Roman"/>
          <w:b/>
          <w:i/>
          <w:color w:val="auto"/>
          <w:lang w:val="pt-BR" w:eastAsia="en-US"/>
        </w:rPr>
        <w:t>Estabilidade pré-aposentadoria. Previsão em norma coletiva. Despedida oito meses antes do implemento da condição. Dispensa obstativa. Configuração.</w:t>
      </w:r>
    </w:p>
    <w:p w:rsidR="007A23CC" w:rsidRPr="00777924" w:rsidRDefault="007A23CC" w:rsidP="007A23CC">
      <w:pPr>
        <w:jc w:val="both"/>
        <w:rPr>
          <w:bCs/>
          <w:u w:val="single"/>
        </w:rPr>
      </w:pPr>
      <w:r w:rsidRPr="00777924">
        <w:rPr>
          <w:sz w:val="24"/>
          <w:szCs w:val="24"/>
        </w:rPr>
        <w:t xml:space="preserve">A dispensa do emprego oito meses antes de alcançar os vinte e quatro meses imediatamente anteriores à complementação do tempo para aposentadoria pela previdência social, conforme exigido por norma coletiva que previu a estabilidade pré-aposentadoria, configura óbice à aquisição do direito à garantia de emprego e transfere ao empregador o ônus de provar que não impediu o implemento da condição maliciosamente (art. 129 do CC), sobretudo no caso em que o trabalhador já preenchia outro requisito para o gozo da estabilidade, qual seja, contar com mais de vinte e oito anos de vínculo ininterrupto com o reclamado. Com esse entendimento, a SBDI-I, por unanimidade, conheceu dos embargos, por divergência jurisprudencial, e, no mérito, por maioria, vencidos os Ministros Ives Gandra Martins Filho, relator, Brito Pereira, Maria Cristina Peduzzi e Dora Maria da Costa, negou-lhes provimento. </w:t>
      </w:r>
      <w:hyperlink r:id="rId11" w:history="1">
        <w:r w:rsidRPr="00520CE1">
          <w:rPr>
            <w:rStyle w:val="Hyperlink"/>
            <w:sz w:val="24"/>
            <w:szCs w:val="24"/>
          </w:rPr>
          <w:t>TST-E-ED-RR-3779900-06.2007.5.09.0652</w:t>
        </w:r>
      </w:hyperlink>
      <w:r w:rsidRPr="00777924">
        <w:rPr>
          <w:sz w:val="24"/>
          <w:szCs w:val="24"/>
          <w:u w:val="single"/>
        </w:rPr>
        <w:t>, SBDI-</w:t>
      </w:r>
      <w:r>
        <w:rPr>
          <w:sz w:val="24"/>
          <w:szCs w:val="24"/>
          <w:u w:val="single"/>
        </w:rPr>
        <w:t>I</w:t>
      </w:r>
      <w:r w:rsidRPr="00777924">
        <w:rPr>
          <w:sz w:val="24"/>
          <w:szCs w:val="24"/>
          <w:u w:val="single"/>
        </w:rPr>
        <w:t xml:space="preserve">, rel. </w:t>
      </w:r>
      <w:r>
        <w:rPr>
          <w:sz w:val="24"/>
          <w:szCs w:val="24"/>
          <w:u w:val="single"/>
        </w:rPr>
        <w:t xml:space="preserve">Min. </w:t>
      </w:r>
      <w:r w:rsidRPr="00777924">
        <w:rPr>
          <w:sz w:val="24"/>
          <w:szCs w:val="24"/>
          <w:u w:val="single"/>
        </w:rPr>
        <w:t>Ives Gandra da Silva Martins Filho, red. p/ acórdão Min. Luiz Philippe Vieira de Mello Filho, 3.5.2012.</w:t>
      </w:r>
    </w:p>
    <w:p w:rsidR="00C26DFB" w:rsidRDefault="00C26DFB">
      <w:pPr>
        <w:jc w:val="both"/>
        <w:rPr>
          <w:sz w:val="22"/>
          <w:szCs w:val="22"/>
          <w:u w:val="single"/>
        </w:rPr>
      </w:pPr>
    </w:p>
    <w:p w:rsidR="007A23CC" w:rsidRDefault="007A23CC">
      <w:pPr>
        <w:jc w:val="both"/>
        <w:rPr>
          <w:sz w:val="22"/>
          <w:szCs w:val="22"/>
          <w:u w:val="single"/>
        </w:rPr>
      </w:pPr>
    </w:p>
    <w:p w:rsidR="007A23CC" w:rsidRDefault="007A23CC">
      <w:pPr>
        <w:jc w:val="both"/>
        <w:rPr>
          <w:sz w:val="22"/>
          <w:szCs w:val="22"/>
          <w:u w:val="single"/>
        </w:rPr>
      </w:pPr>
    </w:p>
    <w:p w:rsidR="007A23CC" w:rsidRPr="005D1DE4" w:rsidRDefault="007A23CC">
      <w:pPr>
        <w:jc w:val="both"/>
        <w:rPr>
          <w:sz w:val="22"/>
          <w:szCs w:val="22"/>
          <w:u w:val="single"/>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2"/>
      <w:footerReference w:type="default" r:id="rId13"/>
      <w:headerReference w:type="first" r:id="rId14"/>
      <w:footerReference w:type="first" r:id="rId15"/>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F1" w:rsidRDefault="00304CF1">
      <w:r>
        <w:separator/>
      </w:r>
    </w:p>
  </w:endnote>
  <w:endnote w:type="continuationSeparator" w:id="0">
    <w:p w:rsidR="00304CF1" w:rsidRDefault="0030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3" w:rsidRDefault="00185D33">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0CE1">
      <w:rPr>
        <w:rStyle w:val="Nmerodepgina"/>
        <w:noProof/>
      </w:rPr>
      <w:t>2</w:t>
    </w:r>
    <w:r>
      <w:rPr>
        <w:rStyle w:val="Nmerodepgina"/>
      </w:rPr>
      <w:fldChar w:fldCharType="end"/>
    </w:r>
  </w:p>
  <w:p w:rsidR="00185D33" w:rsidRDefault="00185D33">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3" w:rsidRDefault="00185D33">
    <w:pPr>
      <w:pStyle w:val="Rodap"/>
      <w:jc w:val="right"/>
    </w:pPr>
    <w:r>
      <w:rPr>
        <w:noProof/>
      </w:rPr>
      <w:pict>
        <v:line id="_x0000_s2054" style="position:absolute;left:0;text-align:left;flip:y;z-index:251659264" from=".9pt,-3.55pt" to="497.7pt,-3.4pt" o:allowincell="f" strokecolor="#969696"/>
      </w:pict>
    </w:r>
    <w:r>
      <w:rPr>
        <w:rStyle w:val="Nmerodepgina"/>
      </w:rPr>
      <w:fldChar w:fldCharType="begin"/>
    </w:r>
    <w:r>
      <w:rPr>
        <w:rStyle w:val="Nmerodepgina"/>
      </w:rPr>
      <w:instrText xml:space="preserve"> PAGE </w:instrText>
    </w:r>
    <w:r>
      <w:rPr>
        <w:rStyle w:val="Nmerodepgina"/>
      </w:rPr>
      <w:fldChar w:fldCharType="separate"/>
    </w:r>
    <w:r w:rsidR="00781498">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F1" w:rsidRDefault="00304CF1">
      <w:r>
        <w:separator/>
      </w:r>
    </w:p>
  </w:footnote>
  <w:footnote w:type="continuationSeparator" w:id="0">
    <w:p w:rsidR="00304CF1" w:rsidRDefault="0030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3" w:rsidRPr="00971E07" w:rsidRDefault="00185D33">
    <w:pPr>
      <w:pStyle w:val="Corpodetexto"/>
      <w:jc w:val="right"/>
      <w:rPr>
        <w:shadow/>
        <w:sz w:val="24"/>
        <w:szCs w:val="24"/>
      </w:rPr>
    </w:pPr>
    <w:r w:rsidRPr="00971E07">
      <w:rPr>
        <w:shadow/>
        <w:sz w:val="24"/>
        <w:szCs w:val="24"/>
      </w:rPr>
      <w:t xml:space="preserve">Informativo TST - </w:t>
    </w:r>
    <w:r>
      <w:rPr>
        <w:shadow/>
        <w:sz w:val="24"/>
        <w:szCs w:val="24"/>
      </w:rPr>
      <w:t>n</w:t>
    </w:r>
    <w:r w:rsidRPr="00971E07">
      <w:rPr>
        <w:shadow/>
        <w:sz w:val="24"/>
        <w:szCs w:val="24"/>
      </w:rPr>
      <w:t xml:space="preserve">º </w:t>
    </w:r>
    <w:r>
      <w:rPr>
        <w:shadow/>
        <w:sz w:val="24"/>
        <w:szCs w:val="24"/>
      </w:rPr>
      <w:t>7</w:t>
    </w:r>
  </w:p>
  <w:p w:rsidR="00185D33" w:rsidRPr="00971E07" w:rsidRDefault="00185D33">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Pr>
        <w:sz w:val="20"/>
        <w:szCs w:val="20"/>
      </w:rPr>
      <w:t>Período: 3</w:t>
    </w:r>
    <w:r w:rsidRPr="00971E07">
      <w:rPr>
        <w:sz w:val="20"/>
        <w:szCs w:val="20"/>
      </w:rPr>
      <w:t xml:space="preserve"> a </w:t>
    </w:r>
    <w:r>
      <w:rPr>
        <w:sz w:val="20"/>
        <w:szCs w:val="20"/>
      </w:rPr>
      <w:t>9</w:t>
    </w:r>
    <w:r w:rsidRPr="00971E07">
      <w:rPr>
        <w:sz w:val="20"/>
        <w:szCs w:val="20"/>
      </w:rPr>
      <w:t xml:space="preserve"> de ma</w:t>
    </w:r>
    <w:r>
      <w:rPr>
        <w:sz w:val="20"/>
        <w:szCs w:val="20"/>
      </w:rPr>
      <w:t>i</w:t>
    </w:r>
    <w:r w:rsidRPr="00971E07">
      <w:rPr>
        <w:sz w:val="20"/>
        <w:szCs w:val="20"/>
      </w:rPr>
      <w:t>o de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3" w:rsidRDefault="00185D3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5pt;height:77pt">
          <v:imagedata r:id="rId1" o:title="TST LOGO"/>
        </v:shape>
      </w:pict>
    </w:r>
  </w:p>
  <w:p w:rsidR="00185D33" w:rsidRPr="002168DE" w:rsidRDefault="00185D33"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7</w:t>
    </w:r>
  </w:p>
  <w:p w:rsidR="00185D33" w:rsidRPr="005D1DE4" w:rsidRDefault="00185D33">
    <w:pPr>
      <w:pStyle w:val="Cabealho"/>
      <w:jc w:val="right"/>
      <w:rPr>
        <w:i/>
        <w:iCs/>
        <w:sz w:val="10"/>
        <w:szCs w:val="10"/>
      </w:rPr>
    </w:pPr>
  </w:p>
  <w:p w:rsidR="00185D33" w:rsidRPr="005D1DE4" w:rsidRDefault="00185D33">
    <w:pPr>
      <w:pStyle w:val="Cabealho"/>
      <w:jc w:val="right"/>
    </w:pPr>
    <w:r>
      <w:rPr>
        <w:i/>
        <w:iCs/>
      </w:rPr>
      <w:t>Período:</w:t>
    </w:r>
    <w:r w:rsidRPr="005D1DE4">
      <w:rPr>
        <w:i/>
        <w:iCs/>
      </w:rPr>
      <w:t xml:space="preserve"> </w:t>
    </w:r>
    <w:r>
      <w:rPr>
        <w:i/>
        <w:iCs/>
      </w:rPr>
      <w:t>3</w:t>
    </w:r>
    <w:r w:rsidRPr="005D1DE4">
      <w:rPr>
        <w:i/>
        <w:iCs/>
      </w:rPr>
      <w:t xml:space="preserve"> a </w:t>
    </w:r>
    <w:r>
      <w:rPr>
        <w:i/>
        <w:iCs/>
      </w:rPr>
      <w:t>9</w:t>
    </w:r>
    <w:r w:rsidRPr="005D1DE4">
      <w:rPr>
        <w:i/>
        <w:iCs/>
      </w:rPr>
      <w:t xml:space="preserve"> de ma</w:t>
    </w:r>
    <w:r>
      <w:rPr>
        <w:i/>
        <w:iCs/>
      </w:rPr>
      <w:t>i</w:t>
    </w:r>
    <w:r w:rsidRPr="005D1DE4">
      <w:rPr>
        <w:i/>
        <w:iCs/>
      </w:rPr>
      <w:t>o de 2012</w:t>
    </w:r>
  </w:p>
  <w:p w:rsidR="00185D33" w:rsidRDefault="00185D33"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colormenu v:ext="edit" fillcolor="none [3213]"/>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5612D"/>
    <w:rsid w:val="00176D15"/>
    <w:rsid w:val="00184590"/>
    <w:rsid w:val="00185D33"/>
    <w:rsid w:val="00187A37"/>
    <w:rsid w:val="0019151D"/>
    <w:rsid w:val="00193208"/>
    <w:rsid w:val="001C04D2"/>
    <w:rsid w:val="001C06C3"/>
    <w:rsid w:val="001C271F"/>
    <w:rsid w:val="001C6C93"/>
    <w:rsid w:val="001D4CF9"/>
    <w:rsid w:val="001D5AB0"/>
    <w:rsid w:val="001D757D"/>
    <w:rsid w:val="001E14BB"/>
    <w:rsid w:val="001E4B57"/>
    <w:rsid w:val="001E5BD1"/>
    <w:rsid w:val="001E713B"/>
    <w:rsid w:val="001F030F"/>
    <w:rsid w:val="00206810"/>
    <w:rsid w:val="002168DE"/>
    <w:rsid w:val="00224AC2"/>
    <w:rsid w:val="0023559D"/>
    <w:rsid w:val="002402B0"/>
    <w:rsid w:val="002449F9"/>
    <w:rsid w:val="002635ED"/>
    <w:rsid w:val="002662BA"/>
    <w:rsid w:val="00266D49"/>
    <w:rsid w:val="00271C5C"/>
    <w:rsid w:val="00271E67"/>
    <w:rsid w:val="002730B5"/>
    <w:rsid w:val="00280594"/>
    <w:rsid w:val="00285064"/>
    <w:rsid w:val="002A219D"/>
    <w:rsid w:val="002A546D"/>
    <w:rsid w:val="002B4738"/>
    <w:rsid w:val="002B6377"/>
    <w:rsid w:val="002C2904"/>
    <w:rsid w:val="002E78CB"/>
    <w:rsid w:val="00304CF1"/>
    <w:rsid w:val="0033397A"/>
    <w:rsid w:val="00352B27"/>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772A"/>
    <w:rsid w:val="004323B0"/>
    <w:rsid w:val="00444E88"/>
    <w:rsid w:val="0045657C"/>
    <w:rsid w:val="004655CC"/>
    <w:rsid w:val="00466DB9"/>
    <w:rsid w:val="00486521"/>
    <w:rsid w:val="00486DFC"/>
    <w:rsid w:val="004922D6"/>
    <w:rsid w:val="004A14FC"/>
    <w:rsid w:val="004A5264"/>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0CE1"/>
    <w:rsid w:val="00521EEC"/>
    <w:rsid w:val="005460BD"/>
    <w:rsid w:val="00553197"/>
    <w:rsid w:val="0055409E"/>
    <w:rsid w:val="00556367"/>
    <w:rsid w:val="00556B35"/>
    <w:rsid w:val="00573E13"/>
    <w:rsid w:val="00584F82"/>
    <w:rsid w:val="00591DFA"/>
    <w:rsid w:val="005A5695"/>
    <w:rsid w:val="005B2F00"/>
    <w:rsid w:val="005B57DE"/>
    <w:rsid w:val="005C1886"/>
    <w:rsid w:val="005C761E"/>
    <w:rsid w:val="005D0E5F"/>
    <w:rsid w:val="005D1DE4"/>
    <w:rsid w:val="005E35BD"/>
    <w:rsid w:val="005E3D4D"/>
    <w:rsid w:val="005E7FD1"/>
    <w:rsid w:val="005F2858"/>
    <w:rsid w:val="006002E3"/>
    <w:rsid w:val="006145AC"/>
    <w:rsid w:val="00615F98"/>
    <w:rsid w:val="00621F9C"/>
    <w:rsid w:val="00631166"/>
    <w:rsid w:val="00631F1C"/>
    <w:rsid w:val="006366A4"/>
    <w:rsid w:val="006456B1"/>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727E"/>
    <w:rsid w:val="00710D3A"/>
    <w:rsid w:val="0071315F"/>
    <w:rsid w:val="00721942"/>
    <w:rsid w:val="00722BE7"/>
    <w:rsid w:val="00732DF2"/>
    <w:rsid w:val="007614F1"/>
    <w:rsid w:val="007618C5"/>
    <w:rsid w:val="00764066"/>
    <w:rsid w:val="00776118"/>
    <w:rsid w:val="00781498"/>
    <w:rsid w:val="007A23CC"/>
    <w:rsid w:val="007B0F83"/>
    <w:rsid w:val="007D29A1"/>
    <w:rsid w:val="007E0EA7"/>
    <w:rsid w:val="007E3F23"/>
    <w:rsid w:val="007F142E"/>
    <w:rsid w:val="007F7B5E"/>
    <w:rsid w:val="00802B1A"/>
    <w:rsid w:val="0080615C"/>
    <w:rsid w:val="0081027F"/>
    <w:rsid w:val="0081742D"/>
    <w:rsid w:val="00821F4D"/>
    <w:rsid w:val="00823906"/>
    <w:rsid w:val="008409D3"/>
    <w:rsid w:val="00845559"/>
    <w:rsid w:val="00854DB8"/>
    <w:rsid w:val="00854EF2"/>
    <w:rsid w:val="00871F69"/>
    <w:rsid w:val="008842D0"/>
    <w:rsid w:val="00884AC4"/>
    <w:rsid w:val="0088579D"/>
    <w:rsid w:val="008A7953"/>
    <w:rsid w:val="008B3081"/>
    <w:rsid w:val="008B32D4"/>
    <w:rsid w:val="008D0020"/>
    <w:rsid w:val="008D3C38"/>
    <w:rsid w:val="008D6A05"/>
    <w:rsid w:val="008E2AE5"/>
    <w:rsid w:val="008E3F89"/>
    <w:rsid w:val="008F26CB"/>
    <w:rsid w:val="008F6509"/>
    <w:rsid w:val="008F79D9"/>
    <w:rsid w:val="009027C8"/>
    <w:rsid w:val="0093467A"/>
    <w:rsid w:val="0094155C"/>
    <w:rsid w:val="00951531"/>
    <w:rsid w:val="00960A3B"/>
    <w:rsid w:val="00967DE0"/>
    <w:rsid w:val="00971E07"/>
    <w:rsid w:val="00980944"/>
    <w:rsid w:val="00986D77"/>
    <w:rsid w:val="009943EC"/>
    <w:rsid w:val="009A32D5"/>
    <w:rsid w:val="009B6012"/>
    <w:rsid w:val="009C102D"/>
    <w:rsid w:val="009C2A4F"/>
    <w:rsid w:val="009D4C59"/>
    <w:rsid w:val="009D7F91"/>
    <w:rsid w:val="009E20EF"/>
    <w:rsid w:val="009E26EE"/>
    <w:rsid w:val="009F21A2"/>
    <w:rsid w:val="00A32FBF"/>
    <w:rsid w:val="00A407EA"/>
    <w:rsid w:val="00A51749"/>
    <w:rsid w:val="00A521B6"/>
    <w:rsid w:val="00A56962"/>
    <w:rsid w:val="00A6412C"/>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17C3"/>
    <w:rsid w:val="00B518B2"/>
    <w:rsid w:val="00B526EA"/>
    <w:rsid w:val="00B536FE"/>
    <w:rsid w:val="00B73FFA"/>
    <w:rsid w:val="00B874F1"/>
    <w:rsid w:val="00BC1DE7"/>
    <w:rsid w:val="00BC5AEE"/>
    <w:rsid w:val="00BD6029"/>
    <w:rsid w:val="00BE0541"/>
    <w:rsid w:val="00BE1ADB"/>
    <w:rsid w:val="00C070DE"/>
    <w:rsid w:val="00C26DFB"/>
    <w:rsid w:val="00C273FA"/>
    <w:rsid w:val="00C30D06"/>
    <w:rsid w:val="00C42067"/>
    <w:rsid w:val="00C432D0"/>
    <w:rsid w:val="00C4398E"/>
    <w:rsid w:val="00C60B4A"/>
    <w:rsid w:val="00C65BDB"/>
    <w:rsid w:val="00C71A3B"/>
    <w:rsid w:val="00C76CFA"/>
    <w:rsid w:val="00C963F8"/>
    <w:rsid w:val="00C96BB1"/>
    <w:rsid w:val="00CA2F80"/>
    <w:rsid w:val="00CB0C2A"/>
    <w:rsid w:val="00CC4B2B"/>
    <w:rsid w:val="00CC579C"/>
    <w:rsid w:val="00CC5F5F"/>
    <w:rsid w:val="00CD3460"/>
    <w:rsid w:val="00CD4B61"/>
    <w:rsid w:val="00CD5043"/>
    <w:rsid w:val="00CE2928"/>
    <w:rsid w:val="00CE314A"/>
    <w:rsid w:val="00D01C50"/>
    <w:rsid w:val="00D11B24"/>
    <w:rsid w:val="00D133C8"/>
    <w:rsid w:val="00D14DB8"/>
    <w:rsid w:val="00D244D5"/>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50EB"/>
    <w:rsid w:val="00DD3FA0"/>
    <w:rsid w:val="00DE5B2D"/>
    <w:rsid w:val="00DE5CE9"/>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82D"/>
    <w:rsid w:val="00EB5FE6"/>
    <w:rsid w:val="00EB61A5"/>
    <w:rsid w:val="00EB7A09"/>
    <w:rsid w:val="00EC5AF4"/>
    <w:rsid w:val="00ED661C"/>
    <w:rsid w:val="00EE41B5"/>
    <w:rsid w:val="00EE66C9"/>
    <w:rsid w:val="00EF11A9"/>
    <w:rsid w:val="00EF38E1"/>
    <w:rsid w:val="00EF749A"/>
    <w:rsid w:val="00EF771E"/>
    <w:rsid w:val="00F02565"/>
    <w:rsid w:val="00F05542"/>
    <w:rsid w:val="00F17A2C"/>
    <w:rsid w:val="00F26708"/>
    <w:rsid w:val="00F511EE"/>
    <w:rsid w:val="00F558E7"/>
    <w:rsid w:val="00F62016"/>
    <w:rsid w:val="00F63F44"/>
    <w:rsid w:val="00F6746D"/>
    <w:rsid w:val="00F811CD"/>
    <w:rsid w:val="00F82D8F"/>
    <w:rsid w:val="00F83F62"/>
    <w:rsid w:val="00F9711D"/>
    <w:rsid w:val="00FA75E0"/>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Cambria"/>
      <w:b/>
      <w:bCs/>
      <w:kern w:val="32"/>
      <w:sz w:val="32"/>
      <w:szCs w:val="32"/>
    </w:rPr>
  </w:style>
  <w:style w:type="character" w:customStyle="1" w:styleId="Ttulo5Char">
    <w:name w:val="Título 5 Char"/>
    <w:basedOn w:val="Fontepargpadro"/>
    <w:link w:val="Ttulo5"/>
    <w:uiPriority w:val="99"/>
    <w:locked/>
    <w:rPr>
      <w:rFonts w:ascii="Calibri" w:hAnsi="Calibri" w:cs="Calibri"/>
      <w:b/>
      <w:bCs/>
      <w:i/>
      <w:iCs/>
      <w:sz w:val="26"/>
      <w:szCs w:val="26"/>
    </w:rPr>
  </w:style>
  <w:style w:type="character" w:customStyle="1" w:styleId="Ttulo6Char">
    <w:name w:val="Título 6 Char"/>
    <w:basedOn w:val="Fontepargpadro"/>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basedOn w:val="Fontepargpadro"/>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basedOn w:val="Fontepargpadro"/>
    <w:link w:val="Corpodetexto3"/>
    <w:uiPriority w:val="99"/>
    <w:locked/>
    <w:rPr>
      <w:rFonts w:cs="Times New Roman"/>
      <w:sz w:val="16"/>
      <w:szCs w:val="16"/>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basedOn w:val="Fontepargpadro"/>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basedOn w:val="Fontepargpadro"/>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basedOn w:val="Fontepargpadro"/>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basedOn w:val="Fontepargpadro"/>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basedOn w:val="Fontepargpadro"/>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basedOn w:val="Fontepargpadro"/>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basedOn w:val="Fontepargpadro"/>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basedOn w:val="Fontepargpadro"/>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basedOn w:val="Fontepargpadro"/>
    <w:link w:val="Corpo"/>
    <w:uiPriority w:val="99"/>
    <w:locked/>
    <w:rsid w:val="008D3C38"/>
    <w:rPr>
      <w:rFonts w:ascii="Courier New" w:hAnsi="Courier New" w:cs="Courier New"/>
      <w:color w:val="000000"/>
      <w:sz w:val="24"/>
      <w:szCs w:val="24"/>
      <w:lang w:val="en-US" w:eastAsia="pt-BR" w:bidi="ar-SA"/>
    </w:rPr>
  </w:style>
  <w:style w:type="paragraph" w:customStyle="1" w:styleId="Default">
    <w:name w:val="Default"/>
    <w:rsid w:val="00185D3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xt02.tst.jus.br/pls/ap01/ap_red100.resumo?num_int=167015&amp;ano_int=2011&amp;qtd_acesso=2437525&amp;novoport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t02.tst.jus.br/pls/ap01/ap_red100.resumo?num_int=736089&amp;ano_int=2009&amp;qtd_acesso=9266397&amp;novoportal=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xt02.tst.jus.br/pls/ap01/ap_red100.resumo?num_int=84785&amp;ano_int=2005&amp;qtd_acesso=1450717&amp;novoportal=" TargetMode="External"/><Relationship Id="rId4" Type="http://schemas.openxmlformats.org/officeDocument/2006/relationships/settings" Target="settings.xml"/><Relationship Id="rId9" Type="http://schemas.openxmlformats.org/officeDocument/2006/relationships/hyperlink" Target="http://ext02.tst.jus.br/pls/ap01/ap_red100.resumo?num_int=7348&amp;ano_int=2008&amp;qtd_acesso=345769&amp;novoportal=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F637-8C9E-495E-97C4-D0E89A67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5744</CharactersWithSpaces>
  <SharedDoc>false</SharedDoc>
  <HLinks>
    <vt:vector size="24" baseType="variant">
      <vt:variant>
        <vt:i4>3801144</vt:i4>
      </vt:variant>
      <vt:variant>
        <vt:i4>9</vt:i4>
      </vt:variant>
      <vt:variant>
        <vt:i4>0</vt:i4>
      </vt:variant>
      <vt:variant>
        <vt:i4>5</vt:i4>
      </vt:variant>
      <vt:variant>
        <vt:lpwstr>http://ext02.tst.jus.br/pls/ap01/ap_red100.resumo?num_int=736089&amp;ano_int=2009&amp;qtd_acesso=9266397&amp;novoportal=1</vt:lpwstr>
      </vt:variant>
      <vt:variant>
        <vt:lpwstr/>
      </vt:variant>
      <vt:variant>
        <vt:i4>5767257</vt:i4>
      </vt:variant>
      <vt:variant>
        <vt:i4>6</vt:i4>
      </vt:variant>
      <vt:variant>
        <vt:i4>0</vt:i4>
      </vt:variant>
      <vt:variant>
        <vt:i4>5</vt:i4>
      </vt:variant>
      <vt:variant>
        <vt:lpwstr>http://ext02.tst.jus.br/pls/ap01/ap_red100.resumo?num_int=84785&amp;ano_int=2005&amp;qtd_acesso=1450717&amp;novoportal=</vt:lpwstr>
      </vt:variant>
      <vt:variant>
        <vt:lpwstr/>
      </vt:variant>
      <vt:variant>
        <vt:i4>1441811</vt:i4>
      </vt:variant>
      <vt:variant>
        <vt:i4>3</vt:i4>
      </vt:variant>
      <vt:variant>
        <vt:i4>0</vt:i4>
      </vt:variant>
      <vt:variant>
        <vt:i4>5</vt:i4>
      </vt:variant>
      <vt:variant>
        <vt:lpwstr>http://ext02.tst.jus.br/pls/ap01/ap_red100.resumo?num_int=7348&amp;ano_int=2008&amp;qtd_acesso=345769&amp;novoportal=1</vt:lpwstr>
      </vt:variant>
      <vt:variant>
        <vt:lpwstr/>
      </vt:variant>
      <vt:variant>
        <vt:i4>3670066</vt:i4>
      </vt:variant>
      <vt:variant>
        <vt:i4>0</vt:i4>
      </vt:variant>
      <vt:variant>
        <vt:i4>0</vt:i4>
      </vt:variant>
      <vt:variant>
        <vt:i4>5</vt:i4>
      </vt:variant>
      <vt:variant>
        <vt:lpwstr>http://ext02.tst.jus.br/pls/ap01/ap_red100.resumo?num_int=167015&amp;ano_int=2011&amp;qtd_acesso=2437525&amp;novoportal=1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dc:description/>
  <cp:lastModifiedBy>c041658</cp:lastModifiedBy>
  <cp:revision>2</cp:revision>
  <cp:lastPrinted>2012-03-09T15:01:00Z</cp:lastPrinted>
  <dcterms:created xsi:type="dcterms:W3CDTF">2018-06-27T22:30:00Z</dcterms:created>
  <dcterms:modified xsi:type="dcterms:W3CDTF">2018-06-27T22:30:00Z</dcterms:modified>
</cp:coreProperties>
</file>