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631F1C" w:rsidRPr="00971E07" w:rsidRDefault="00631F1C" w:rsidP="008A2414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FE00AD" w:rsidRPr="00002C4A" w:rsidRDefault="00FE00AD" w:rsidP="00F82D8F">
      <w:pPr>
        <w:pStyle w:val="Corpodetexto2"/>
        <w:jc w:val="center"/>
        <w:rPr>
          <w:b/>
          <w:bCs/>
          <w:emboss/>
          <w:sz w:val="24"/>
          <w:szCs w:val="24"/>
        </w:rPr>
      </w:pPr>
    </w:p>
    <w:p w:rsidR="008A2414" w:rsidRPr="00723672" w:rsidRDefault="008A2414" w:rsidP="008A2414">
      <w:pPr>
        <w:jc w:val="both"/>
        <w:rPr>
          <w:b/>
          <w:i/>
          <w:sz w:val="24"/>
          <w:szCs w:val="24"/>
        </w:rPr>
      </w:pPr>
      <w:r w:rsidRPr="00723672">
        <w:rPr>
          <w:b/>
          <w:i/>
          <w:sz w:val="24"/>
          <w:szCs w:val="24"/>
        </w:rPr>
        <w:t xml:space="preserve">Contrato de experiência firmado com a empresa tomadora de serviços após o término do contrato temporário. Invalidade. </w:t>
      </w:r>
    </w:p>
    <w:p w:rsidR="008A2414" w:rsidRDefault="008A2414" w:rsidP="008A2414">
      <w:pPr>
        <w:jc w:val="both"/>
        <w:rPr>
          <w:sz w:val="24"/>
          <w:szCs w:val="24"/>
          <w:u w:val="single"/>
        </w:rPr>
      </w:pPr>
      <w:r w:rsidRPr="00723672">
        <w:rPr>
          <w:sz w:val="24"/>
          <w:szCs w:val="24"/>
        </w:rPr>
        <w:t xml:space="preserve">O contrato de experiência previsto no art. 443, § 2.º, </w:t>
      </w:r>
      <w:r>
        <w:rPr>
          <w:sz w:val="24"/>
          <w:szCs w:val="24"/>
        </w:rPr>
        <w:t>“</w:t>
      </w:r>
      <w:r w:rsidRPr="00723672">
        <w:rPr>
          <w:sz w:val="24"/>
          <w:szCs w:val="24"/>
        </w:rPr>
        <w:t>c</w:t>
      </w:r>
      <w:r>
        <w:rPr>
          <w:sz w:val="24"/>
          <w:szCs w:val="24"/>
        </w:rPr>
        <w:t>”</w:t>
      </w:r>
      <w:r w:rsidRPr="00723672">
        <w:rPr>
          <w:sz w:val="24"/>
          <w:szCs w:val="24"/>
        </w:rPr>
        <w:t xml:space="preserve">, da CLT é uma modalidade de contrato de trabalho por prazo determinado que corresponde a uma fase probatória, por meio da qual as partes observarão a existência de efetivo interesse no prosseguimento do contrato de trabalho. Assim, na hipótese em que o reclamante já prestou serviços para a reclamada na condição de trabalhador temporário, ainda que por apenas 47 dias, é inválida a sua subsequente contratação a título de experiência, porquanto a prestação de serviços anterior já cumpriu a finalidade para qual instituída essa modalidade de contrato. Com esse entendimento, a SBDI-I, por unanimidade, conheceu dos embargos da reclamada, por divergência jurisprudencial, e, no mérito, negou-lhes provimento. </w:t>
      </w:r>
      <w:hyperlink r:id="rId8" w:history="1">
        <w:r w:rsidRPr="000D6DD1">
          <w:rPr>
            <w:rStyle w:val="Hyperlink"/>
            <w:sz w:val="24"/>
            <w:szCs w:val="24"/>
          </w:rPr>
          <w:t>TST-E-RR-184500-06.2009.5.02.0262</w:t>
        </w:r>
      </w:hyperlink>
      <w:r w:rsidRPr="00723672">
        <w:rPr>
          <w:sz w:val="24"/>
          <w:szCs w:val="24"/>
          <w:u w:val="single"/>
        </w:rPr>
        <w:t>, SBDI-I, rel. Min. Brito Pereira, 24.10.2013</w:t>
      </w:r>
    </w:p>
    <w:p w:rsidR="008A2414" w:rsidRPr="00002C4A" w:rsidRDefault="008A2414" w:rsidP="008A2414">
      <w:pPr>
        <w:jc w:val="both"/>
        <w:rPr>
          <w:sz w:val="24"/>
          <w:szCs w:val="24"/>
          <w:u w:val="single"/>
        </w:rPr>
      </w:pPr>
    </w:p>
    <w:p w:rsidR="008A2414" w:rsidRDefault="008A2414" w:rsidP="008A241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Acordo homologado judicialmente. Atraso no pagamento de parcela. Exclusão da cláusula penal fixada em 100%. Ofensa à coisa julgada. Redução da multa para 50% do valor da parcela inadimplida. Possibilidade. </w:t>
      </w:r>
    </w:p>
    <w:p w:rsidR="008A2414" w:rsidRDefault="008A2414" w:rsidP="008A2414">
      <w:pPr>
        <w:jc w:val="both"/>
        <w:rPr>
          <w:sz w:val="24"/>
          <w:szCs w:val="24"/>
        </w:rPr>
      </w:pPr>
      <w:r>
        <w:rPr>
          <w:sz w:val="24"/>
          <w:szCs w:val="24"/>
        </w:rPr>
        <w:t>Ofende a coisa julgada</w:t>
      </w:r>
      <w:r w:rsidRPr="008D6C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decisão que afasta a aplicabilidade da cláusula penal (fixada em 100%) por descumprimento de acordo homologado judicialmente, sem que haja lei expressa autorizando a exclusão do direito acordado entre as partes. Todavia, tendo o Regional registrado que a quantia devida era vultosa, que a reclamada estava em local diverso da sede do juízo e que não houve prejuízo ao reclamante, mostra-se razoável e proporcional reduzir a penalidade imposta a 50% do valor da parcela inadimplida no prazo acordado. Com esse entendimento, a SBDI-I, por maioria, vencidos os Ministros Maria Cristina Irigoyen Peduzzi, Renato de Lacerda Paiva e Aloysio Corrêa da Veiga, conheceu dos embargos interpostos antes da Lei nº 11.496/2007, por violação do art. 896, “c”, da CLT, uma vez que o recurso de revista do reclamado comportava conhecimento por violação do art. 5º, XXXVI, da CF. No mérito, ainda por maioria, a Subseção deu provimento ao recurso para fixar a cláusula penal em 50% da parcela inadimplida a seu tempo, vencidos parcialmente os Ministros Luiz Philippe Vieira de Mello Filho, Brito Pereira e Dora Maria da Costa, que fixavam o percentual em 10%, e o Ministro Alexandre Agra Belmonte, que o fixava em 100%. </w:t>
      </w:r>
      <w:hyperlink r:id="rId9" w:history="1">
        <w:r w:rsidRPr="000D6DD1">
          <w:rPr>
            <w:rStyle w:val="Hyperlink"/>
            <w:sz w:val="24"/>
            <w:szCs w:val="24"/>
          </w:rPr>
          <w:t>TST-E-ED-RR-861100-13.2002.5.12.0900</w:t>
        </w:r>
      </w:hyperlink>
      <w:r w:rsidRPr="00B81713">
        <w:rPr>
          <w:sz w:val="24"/>
          <w:szCs w:val="24"/>
          <w:u w:val="single"/>
        </w:rPr>
        <w:t>, S</w:t>
      </w:r>
      <w:r>
        <w:rPr>
          <w:sz w:val="24"/>
          <w:szCs w:val="24"/>
          <w:u w:val="single"/>
        </w:rPr>
        <w:t>B</w:t>
      </w:r>
      <w:r w:rsidRPr="00B81713">
        <w:rPr>
          <w:sz w:val="24"/>
          <w:szCs w:val="24"/>
          <w:u w:val="single"/>
        </w:rPr>
        <w:t xml:space="preserve">DI-I, rel. </w:t>
      </w:r>
      <w:r>
        <w:rPr>
          <w:sz w:val="24"/>
          <w:szCs w:val="24"/>
          <w:u w:val="single"/>
        </w:rPr>
        <w:t xml:space="preserve">Min. </w:t>
      </w:r>
      <w:r w:rsidRPr="00B81713">
        <w:rPr>
          <w:sz w:val="24"/>
          <w:szCs w:val="24"/>
          <w:u w:val="single"/>
        </w:rPr>
        <w:t xml:space="preserve">Augusto César Leite de Carvalho, </w:t>
      </w:r>
      <w:r>
        <w:rPr>
          <w:sz w:val="24"/>
          <w:szCs w:val="24"/>
          <w:u w:val="single"/>
        </w:rPr>
        <w:t>24.10.2013</w:t>
      </w:r>
    </w:p>
    <w:p w:rsidR="008A2414" w:rsidRPr="00002C4A" w:rsidRDefault="008A2414" w:rsidP="008A2414">
      <w:pPr>
        <w:jc w:val="both"/>
        <w:rPr>
          <w:sz w:val="24"/>
          <w:szCs w:val="24"/>
        </w:rPr>
      </w:pPr>
    </w:p>
    <w:p w:rsidR="008A2414" w:rsidRPr="00AA7E79" w:rsidRDefault="008A2414" w:rsidP="008A2414">
      <w:pPr>
        <w:jc w:val="both"/>
        <w:rPr>
          <w:b/>
          <w:i/>
          <w:sz w:val="24"/>
          <w:szCs w:val="24"/>
        </w:rPr>
      </w:pPr>
      <w:r w:rsidRPr="00AA7E79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EF. Novo plano de cargos e salários.  </w:t>
      </w:r>
      <w:r w:rsidRPr="00AA7E79">
        <w:rPr>
          <w:b/>
          <w:i/>
          <w:sz w:val="24"/>
          <w:szCs w:val="24"/>
        </w:rPr>
        <w:t>Adesão condicionada à desistência de ações judiciais. Invalidade. Afronta ao princípio da inafastabilidade da jurisdição. Art. 5º, XXXV, da C</w:t>
      </w:r>
      <w:r>
        <w:rPr>
          <w:b/>
          <w:i/>
          <w:sz w:val="24"/>
          <w:szCs w:val="24"/>
        </w:rPr>
        <w:t>F</w:t>
      </w:r>
      <w:r w:rsidRPr="00AA7E79">
        <w:rPr>
          <w:b/>
          <w:i/>
          <w:sz w:val="24"/>
          <w:szCs w:val="24"/>
        </w:rPr>
        <w:t>.</w:t>
      </w:r>
    </w:p>
    <w:p w:rsidR="008A2414" w:rsidRDefault="008A2414" w:rsidP="008A2414">
      <w:pPr>
        <w:jc w:val="both"/>
        <w:rPr>
          <w:sz w:val="24"/>
          <w:szCs w:val="24"/>
          <w:u w:val="single"/>
        </w:rPr>
      </w:pPr>
      <w:r w:rsidRPr="00AA7E79">
        <w:rPr>
          <w:sz w:val="24"/>
          <w:szCs w:val="24"/>
        </w:rPr>
        <w:t>Fere o princípio da inafastabilidade da jurisdição, insculpido no art</w:t>
      </w:r>
      <w:r>
        <w:rPr>
          <w:sz w:val="24"/>
          <w:szCs w:val="24"/>
        </w:rPr>
        <w:t xml:space="preserve">. </w:t>
      </w:r>
      <w:r w:rsidRPr="00AA7E79">
        <w:rPr>
          <w:sz w:val="24"/>
          <w:szCs w:val="24"/>
        </w:rPr>
        <w:t>5º, XXXV, da C</w:t>
      </w:r>
      <w:r>
        <w:rPr>
          <w:sz w:val="24"/>
          <w:szCs w:val="24"/>
        </w:rPr>
        <w:t>F</w:t>
      </w:r>
      <w:r w:rsidRPr="00AA7E79">
        <w:rPr>
          <w:sz w:val="24"/>
          <w:szCs w:val="24"/>
        </w:rPr>
        <w:t>, cláusula de norma interna</w:t>
      </w:r>
      <w:r>
        <w:rPr>
          <w:sz w:val="24"/>
          <w:szCs w:val="24"/>
        </w:rPr>
        <w:t xml:space="preserve"> da Caixa Econômica Federal - CEF</w:t>
      </w:r>
      <w:r w:rsidRPr="00AA7E79">
        <w:rPr>
          <w:sz w:val="24"/>
          <w:szCs w:val="24"/>
        </w:rPr>
        <w:t xml:space="preserve"> que condiciona a validade d</w:t>
      </w:r>
      <w:r>
        <w:rPr>
          <w:sz w:val="24"/>
          <w:szCs w:val="24"/>
        </w:rPr>
        <w:t>a</w:t>
      </w:r>
      <w:r w:rsidRPr="00AA7E79">
        <w:rPr>
          <w:sz w:val="24"/>
          <w:szCs w:val="24"/>
        </w:rPr>
        <w:t xml:space="preserve"> adesão a novo plano de cargos e salários à desistência das ações judicia</w:t>
      </w:r>
      <w:r>
        <w:rPr>
          <w:sz w:val="24"/>
          <w:szCs w:val="24"/>
        </w:rPr>
        <w:t>i</w:t>
      </w:r>
      <w:r w:rsidRPr="00AA7E79">
        <w:rPr>
          <w:sz w:val="24"/>
          <w:szCs w:val="24"/>
        </w:rPr>
        <w:t>s, impondo ao empregado a quitação genérica dos planos anteriores. Com esse entendimento, a SBDI-</w:t>
      </w:r>
      <w:r>
        <w:rPr>
          <w:sz w:val="24"/>
          <w:szCs w:val="24"/>
        </w:rPr>
        <w:t>I</w:t>
      </w:r>
      <w:r w:rsidRPr="00AA7E79">
        <w:rPr>
          <w:sz w:val="24"/>
          <w:szCs w:val="24"/>
        </w:rPr>
        <w:t>, à unanimidade, conheceu do</w:t>
      </w:r>
      <w:r>
        <w:rPr>
          <w:sz w:val="24"/>
          <w:szCs w:val="24"/>
        </w:rPr>
        <w:t xml:space="preserve"> recurso de</w:t>
      </w:r>
      <w:r w:rsidRPr="00AA7E79">
        <w:rPr>
          <w:sz w:val="24"/>
          <w:szCs w:val="24"/>
        </w:rPr>
        <w:t xml:space="preserve"> embargos</w:t>
      </w:r>
      <w:r>
        <w:rPr>
          <w:sz w:val="24"/>
          <w:szCs w:val="24"/>
        </w:rPr>
        <w:t xml:space="preserve"> do reclamante, por divergência jurisprudencial, no tópico,</w:t>
      </w:r>
      <w:r w:rsidRPr="00AA7E79">
        <w:rPr>
          <w:sz w:val="24"/>
          <w:szCs w:val="24"/>
        </w:rPr>
        <w:t xml:space="preserve"> e, no mérito, por maioria, </w:t>
      </w:r>
      <w:r>
        <w:rPr>
          <w:sz w:val="24"/>
          <w:szCs w:val="24"/>
        </w:rPr>
        <w:t xml:space="preserve">deu-lhe provimento para, </w:t>
      </w:r>
      <w:r w:rsidRPr="00AA7E79">
        <w:rPr>
          <w:sz w:val="24"/>
          <w:szCs w:val="24"/>
        </w:rPr>
        <w:t>declar</w:t>
      </w:r>
      <w:r>
        <w:rPr>
          <w:sz w:val="24"/>
          <w:szCs w:val="24"/>
        </w:rPr>
        <w:t xml:space="preserve">ando </w:t>
      </w:r>
      <w:r w:rsidRPr="00AA7E79">
        <w:rPr>
          <w:sz w:val="24"/>
          <w:szCs w:val="24"/>
        </w:rPr>
        <w:t>a nulidade da aludida cláusula, assegura</w:t>
      </w:r>
      <w:r>
        <w:rPr>
          <w:sz w:val="24"/>
          <w:szCs w:val="24"/>
        </w:rPr>
        <w:t xml:space="preserve">r </w:t>
      </w:r>
      <w:r w:rsidRPr="00AA7E79">
        <w:rPr>
          <w:sz w:val="24"/>
          <w:szCs w:val="24"/>
        </w:rPr>
        <w:t xml:space="preserve">o direito de opção do empregado ao novo </w:t>
      </w:r>
      <w:r>
        <w:rPr>
          <w:sz w:val="24"/>
          <w:szCs w:val="24"/>
        </w:rPr>
        <w:t>p</w:t>
      </w:r>
      <w:r w:rsidRPr="00AA7E79">
        <w:rPr>
          <w:sz w:val="24"/>
          <w:szCs w:val="24"/>
        </w:rPr>
        <w:t xml:space="preserve">lano de </w:t>
      </w:r>
      <w:r>
        <w:rPr>
          <w:sz w:val="24"/>
          <w:szCs w:val="24"/>
        </w:rPr>
        <w:t>c</w:t>
      </w:r>
      <w:r w:rsidRPr="00AA7E79">
        <w:rPr>
          <w:sz w:val="24"/>
          <w:szCs w:val="24"/>
        </w:rPr>
        <w:t xml:space="preserve">argos e </w:t>
      </w:r>
      <w:r>
        <w:rPr>
          <w:sz w:val="24"/>
          <w:szCs w:val="24"/>
        </w:rPr>
        <w:t>s</w:t>
      </w:r>
      <w:r w:rsidRPr="00AA7E79">
        <w:rPr>
          <w:sz w:val="24"/>
          <w:szCs w:val="24"/>
        </w:rPr>
        <w:t xml:space="preserve">alários da </w:t>
      </w:r>
      <w:r>
        <w:rPr>
          <w:sz w:val="24"/>
          <w:szCs w:val="24"/>
        </w:rPr>
        <w:t>CEF</w:t>
      </w:r>
      <w:r w:rsidRPr="00AA7E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A7E79">
        <w:rPr>
          <w:sz w:val="24"/>
          <w:szCs w:val="24"/>
        </w:rPr>
        <w:t xml:space="preserve">observando </w:t>
      </w:r>
      <w:r>
        <w:rPr>
          <w:sz w:val="24"/>
          <w:szCs w:val="24"/>
        </w:rPr>
        <w:t xml:space="preserve">os </w:t>
      </w:r>
      <w:r w:rsidRPr="00AA7E79">
        <w:rPr>
          <w:sz w:val="24"/>
          <w:szCs w:val="24"/>
        </w:rPr>
        <w:t xml:space="preserve">demais </w:t>
      </w:r>
      <w:r>
        <w:rPr>
          <w:sz w:val="24"/>
          <w:szCs w:val="24"/>
        </w:rPr>
        <w:t xml:space="preserve">termos da norma. </w:t>
      </w:r>
      <w:r w:rsidRPr="00AA7E79">
        <w:rPr>
          <w:sz w:val="24"/>
          <w:szCs w:val="24"/>
        </w:rPr>
        <w:t>Vencidos os Ministros Maria Cristina</w:t>
      </w:r>
      <w:r>
        <w:rPr>
          <w:sz w:val="24"/>
          <w:szCs w:val="24"/>
        </w:rPr>
        <w:t xml:space="preserve"> Irigoyen</w:t>
      </w:r>
      <w:r w:rsidRPr="00AA7E79">
        <w:rPr>
          <w:sz w:val="24"/>
          <w:szCs w:val="24"/>
        </w:rPr>
        <w:t xml:space="preserve"> Peduzzi, Ives Gandra da Silva Martins Filho, </w:t>
      </w:r>
      <w:r w:rsidRPr="00AA7E79">
        <w:rPr>
          <w:sz w:val="24"/>
          <w:szCs w:val="24"/>
        </w:rPr>
        <w:lastRenderedPageBreak/>
        <w:t xml:space="preserve">Renato de Lacerda Paiva, João Oreste Dalazen e Carlos Alberto Reis de Paula. </w:t>
      </w:r>
      <w:hyperlink r:id="rId10" w:history="1">
        <w:r w:rsidRPr="000D6DD1">
          <w:rPr>
            <w:rStyle w:val="Hyperlink"/>
            <w:sz w:val="24"/>
            <w:szCs w:val="24"/>
          </w:rPr>
          <w:t>TST-E-RR-3070300-42.2008.5.09.0013</w:t>
        </w:r>
      </w:hyperlink>
      <w:r w:rsidRPr="00AA7E79">
        <w:rPr>
          <w:sz w:val="24"/>
          <w:szCs w:val="24"/>
          <w:u w:val="single"/>
        </w:rPr>
        <w:t>, SBDI-</w:t>
      </w:r>
      <w:r>
        <w:rPr>
          <w:sz w:val="24"/>
          <w:szCs w:val="24"/>
          <w:u w:val="single"/>
        </w:rPr>
        <w:t>I</w:t>
      </w:r>
      <w:r w:rsidRPr="00AA7E79">
        <w:rPr>
          <w:sz w:val="24"/>
          <w:szCs w:val="24"/>
          <w:u w:val="single"/>
        </w:rPr>
        <w:t>, rel. Min. Brito Pereira, 24.10.2013</w:t>
      </w:r>
    </w:p>
    <w:p w:rsidR="008A2414" w:rsidRPr="00002C4A" w:rsidRDefault="008A2414" w:rsidP="008A2414">
      <w:pPr>
        <w:jc w:val="both"/>
        <w:rPr>
          <w:sz w:val="24"/>
          <w:szCs w:val="24"/>
          <w:u w:val="single"/>
        </w:rPr>
      </w:pPr>
    </w:p>
    <w:p w:rsidR="008A2414" w:rsidRPr="008A2414" w:rsidRDefault="008A2414" w:rsidP="008A2414">
      <w:pPr>
        <w:jc w:val="both"/>
        <w:outlineLvl w:val="0"/>
        <w:rPr>
          <w:b/>
          <w:i/>
          <w:sz w:val="24"/>
          <w:szCs w:val="24"/>
        </w:rPr>
      </w:pPr>
      <w:r w:rsidRPr="008A2414">
        <w:rPr>
          <w:b/>
          <w:i/>
          <w:sz w:val="24"/>
          <w:szCs w:val="24"/>
        </w:rPr>
        <w:t>Instrumento de mandato. Vedação ou limitação explícita ao poder de substabelecer. Irregularidade de representação. Não configuração. Súmula nº 395, III, do TST.</w:t>
      </w:r>
    </w:p>
    <w:p w:rsidR="008A2414" w:rsidRDefault="008A2414" w:rsidP="008A2414">
      <w:pPr>
        <w:jc w:val="both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>O</w:t>
      </w:r>
      <w:r w:rsidRPr="00A27292">
        <w:rPr>
          <w:sz w:val="24"/>
          <w:szCs w:val="24"/>
        </w:rPr>
        <w:t xml:space="preserve"> substabelecimento outorgado </w:t>
      </w:r>
      <w:r>
        <w:rPr>
          <w:sz w:val="24"/>
          <w:szCs w:val="24"/>
        </w:rPr>
        <w:t>p</w:t>
      </w:r>
      <w:r w:rsidRPr="00A27292">
        <w:rPr>
          <w:sz w:val="24"/>
          <w:szCs w:val="24"/>
        </w:rPr>
        <w:t>roduz efeitos regulares</w:t>
      </w:r>
      <w:r>
        <w:rPr>
          <w:sz w:val="24"/>
          <w:szCs w:val="24"/>
        </w:rPr>
        <w:t xml:space="preserve"> ainda que haja vedação ou</w:t>
      </w:r>
      <w:r w:rsidRPr="00A27292">
        <w:rPr>
          <w:sz w:val="24"/>
          <w:szCs w:val="24"/>
        </w:rPr>
        <w:t xml:space="preserve"> limitação explícita no instrumento de mandato em relação a esse poder</w:t>
      </w:r>
      <w:r>
        <w:rPr>
          <w:sz w:val="24"/>
          <w:szCs w:val="24"/>
        </w:rPr>
        <w:t xml:space="preserve">. Assim, não há falar em irregularidade de representação na hipótese em que a advogada, individualmente, substabeleceu ao subscritor do recurso ordinário, não obstante a procuração estabelecesse que os outorgados deveriam atuar conjuntamente. Nos termos do art. 667 do CC, a irregularidade no substabelecimento é questão atinente ao contrato de mandato, gerando efeitos somente entre as partes contratantes. Noutro giro, </w:t>
      </w:r>
      <w:r w:rsidRPr="00A27292">
        <w:rPr>
          <w:sz w:val="24"/>
          <w:szCs w:val="24"/>
        </w:rPr>
        <w:t xml:space="preserve">o item III da Súmula nº 395 do TST, ao consignar que </w:t>
      </w:r>
      <w:r w:rsidRPr="003C6B39">
        <w:rPr>
          <w:sz w:val="24"/>
          <w:szCs w:val="24"/>
        </w:rPr>
        <w:t>“são válidos os atos praticados pelo substabelecido, ainda que não haja, no mandato, poderes expressos para substabelecer”,</w:t>
      </w:r>
      <w:r w:rsidRPr="00A27292">
        <w:rPr>
          <w:sz w:val="24"/>
          <w:szCs w:val="24"/>
        </w:rPr>
        <w:t xml:space="preserve"> trata não apenas da hipótese em que não exista no instrumento outorgado a delegação de poderes para substabelecer, mas também daquela em que haja expressa proibição ou restrição desses poderes</w:t>
      </w:r>
      <w:r w:rsidRPr="00A2729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27292">
        <w:rPr>
          <w:sz w:val="24"/>
          <w:szCs w:val="24"/>
        </w:rPr>
        <w:t xml:space="preserve">Com esses fundamentos, a SBDI-I, por maioria, </w:t>
      </w:r>
      <w:r>
        <w:rPr>
          <w:sz w:val="24"/>
          <w:szCs w:val="24"/>
        </w:rPr>
        <w:t xml:space="preserve">vencido em parte o Ministro Alexandre Agra Belmonte, conheceu dos embargos das empresas reclamadas, por contrariedade à Súmula nº 395, III, do TST, e, no mérito, por unanimidade, deu-lhes provimento para afastar a irregularidade de representação e, por conseguinte, determinar o retorno dos autos ao TRT de origem, a fim de que prossiga no julgamento do recurso ordinário dos reclamados como entender de direito. Ressalvou entendimento o Ministro João Oreste Dalazen. </w:t>
      </w:r>
      <w:hyperlink r:id="rId11" w:history="1">
        <w:r w:rsidRPr="000D6DD1">
          <w:rPr>
            <w:rStyle w:val="Hyperlink"/>
            <w:sz w:val="24"/>
            <w:szCs w:val="24"/>
          </w:rPr>
          <w:t>TST-E-ED-ARR-99100-36.2009.5.18.0211</w:t>
        </w:r>
      </w:hyperlink>
      <w:r w:rsidRPr="000E4253">
        <w:rPr>
          <w:sz w:val="24"/>
          <w:szCs w:val="24"/>
          <w:u w:val="single"/>
        </w:rPr>
        <w:t>, SBDI-I, rel. Min. Dora Maria da Costa, 24.10.2013</w:t>
      </w:r>
    </w:p>
    <w:p w:rsidR="00002C4A" w:rsidRPr="00002C4A" w:rsidRDefault="00002C4A" w:rsidP="008A2414">
      <w:pPr>
        <w:jc w:val="both"/>
        <w:outlineLvl w:val="0"/>
        <w:rPr>
          <w:sz w:val="24"/>
          <w:szCs w:val="24"/>
          <w:u w:val="single"/>
        </w:rPr>
      </w:pPr>
    </w:p>
    <w:p w:rsidR="00002C4A" w:rsidRPr="00002C4A" w:rsidRDefault="00002C4A" w:rsidP="00002C4A">
      <w:pPr>
        <w:jc w:val="both"/>
        <w:rPr>
          <w:b/>
          <w:i/>
          <w:sz w:val="24"/>
          <w:szCs w:val="24"/>
        </w:rPr>
      </w:pPr>
      <w:r w:rsidRPr="00002C4A">
        <w:rPr>
          <w:b/>
          <w:i/>
          <w:sz w:val="24"/>
          <w:szCs w:val="24"/>
        </w:rPr>
        <w:t>Súmula nº 337, item IV, alínea “b”, do TST. Comprovação do aresto divergente. Necessidade de indicação expressa do sítio de onde extraído o paradigma.</w:t>
      </w:r>
    </w:p>
    <w:p w:rsidR="00002C4A" w:rsidRPr="00002C4A" w:rsidRDefault="00002C4A" w:rsidP="00002C4A">
      <w:pPr>
        <w:jc w:val="both"/>
        <w:rPr>
          <w:rFonts w:eastAsia="Calibri"/>
          <w:sz w:val="24"/>
          <w:szCs w:val="24"/>
          <w:u w:val="single"/>
        </w:rPr>
      </w:pPr>
      <w:r w:rsidRPr="00002C4A">
        <w:rPr>
          <w:sz w:val="24"/>
          <w:szCs w:val="24"/>
        </w:rPr>
        <w:t xml:space="preserve">Não atende ao disposto na alínea “b” do item IV da Súmula nº 337 do TST a indicação apenas da expressão “mídia eletrônica do TST” para comprovação da origem do aresto divergente, devendo-se declinar expressamente o sítio de onde extraído o paradigma. Com esse entendimento, a SBDI-I, por maioria, não conheceu dos embargos da reclamante. Vencidos os Ministros João Oreste Dalazen, Renato de Lacerda Paiva, Augusto César Leite de Carvalho e Alexandre Agra Belmonte, que conheciam do recurso, por divergência jurisprudencial, ao fundamento de que, não obstante a impropriedade do termo “mídia eletrônica do TST”, a finalidade consagrada na Súmula nº 337 do TST foi atingida. </w:t>
      </w:r>
      <w:hyperlink r:id="rId12" w:history="1">
        <w:r w:rsidRPr="000D6DD1">
          <w:rPr>
            <w:rStyle w:val="Hyperlink"/>
            <w:rFonts w:eastAsia="Calibri"/>
            <w:sz w:val="24"/>
            <w:szCs w:val="24"/>
          </w:rPr>
          <w:t>TST-E-RR-51900-41.2005.5.09.0658</w:t>
        </w:r>
      </w:hyperlink>
      <w:r w:rsidRPr="00002C4A">
        <w:rPr>
          <w:rFonts w:eastAsia="Calibri"/>
          <w:sz w:val="24"/>
          <w:szCs w:val="24"/>
          <w:u w:val="single"/>
        </w:rPr>
        <w:t>, SBDI-I, rel. Min. Dora Maria da Costa, 24.10.2013</w:t>
      </w:r>
    </w:p>
    <w:p w:rsidR="00BC1DE7" w:rsidRPr="00002C4A" w:rsidRDefault="00BC1DE7" w:rsidP="00C71A3B">
      <w:pPr>
        <w:pStyle w:val="Corpo"/>
        <w:spacing w:line="240" w:lineRule="auto"/>
        <w:ind w:firstLine="0"/>
        <w:rPr>
          <w:rFonts w:ascii="Times New Roman" w:hAnsi="Times New Roman" w:cs="Times New Roman"/>
          <w:u w:val="single"/>
          <w:lang w:val="pt-BR" w:eastAsia="en-US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8A2414" w:rsidRPr="00002C4A" w:rsidRDefault="008A2414" w:rsidP="008A2414">
      <w:pPr>
        <w:ind w:right="-71"/>
        <w:jc w:val="both"/>
        <w:rPr>
          <w:b/>
          <w:i/>
          <w:sz w:val="24"/>
          <w:szCs w:val="24"/>
        </w:rPr>
      </w:pPr>
    </w:p>
    <w:p w:rsidR="008A2414" w:rsidRDefault="008A2414" w:rsidP="008A2414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Ação rescisória. Art. 485, VIII, do CPC. Advogado que firmou acordo adjudicando bens imóveis da empresa. Ausência de poderes para alienar patrimônio. Fundamento para invalidar a transação. Caracterização. </w:t>
      </w:r>
      <w:r>
        <w:rPr>
          <w:sz w:val="24"/>
          <w:szCs w:val="24"/>
        </w:rPr>
        <w:t xml:space="preserve"> </w:t>
      </w:r>
    </w:p>
    <w:p w:rsidR="008A2414" w:rsidRPr="007B708D" w:rsidRDefault="008A2414" w:rsidP="008A2414">
      <w:pPr>
        <w:pStyle w:val="Corpo"/>
        <w:spacing w:line="240" w:lineRule="auto"/>
        <w:ind w:firstLine="0"/>
        <w:rPr>
          <w:rFonts w:ascii="Times New Roman" w:hAnsi="Times New Roman" w:cs="Times New Roman"/>
          <w:color w:val="auto"/>
          <w:lang w:val="pt-BR"/>
        </w:rPr>
      </w:pPr>
      <w:r>
        <w:rPr>
          <w:rFonts w:ascii="Times New Roman" w:hAnsi="Times New Roman" w:cs="Times New Roman"/>
          <w:color w:val="auto"/>
          <w:lang w:val="pt-BR"/>
        </w:rPr>
        <w:t>O fato de o</w:t>
      </w:r>
      <w:r w:rsidRPr="007B708D">
        <w:rPr>
          <w:rFonts w:ascii="Times New Roman" w:hAnsi="Times New Roman" w:cs="Times New Roman"/>
          <w:color w:val="auto"/>
          <w:lang w:val="pt-BR"/>
        </w:rPr>
        <w:t xml:space="preserve"> advogado </w:t>
      </w:r>
      <w:r>
        <w:rPr>
          <w:rFonts w:ascii="Times New Roman" w:hAnsi="Times New Roman" w:cs="Times New Roman"/>
          <w:color w:val="auto"/>
          <w:lang w:val="pt-BR"/>
        </w:rPr>
        <w:t xml:space="preserve">ter </w:t>
      </w:r>
      <w:r w:rsidRPr="007B708D">
        <w:rPr>
          <w:rFonts w:ascii="Times New Roman" w:hAnsi="Times New Roman" w:cs="Times New Roman"/>
          <w:color w:val="auto"/>
          <w:lang w:val="pt-BR"/>
        </w:rPr>
        <w:t>firm</w:t>
      </w:r>
      <w:r>
        <w:rPr>
          <w:rFonts w:ascii="Times New Roman" w:hAnsi="Times New Roman" w:cs="Times New Roman"/>
          <w:color w:val="auto"/>
          <w:lang w:val="pt-BR"/>
        </w:rPr>
        <w:t>ado</w:t>
      </w:r>
      <w:r w:rsidRPr="007B708D">
        <w:rPr>
          <w:rFonts w:ascii="Times New Roman" w:hAnsi="Times New Roman" w:cs="Times New Roman"/>
          <w:color w:val="auto"/>
          <w:lang w:val="pt-BR"/>
        </w:rPr>
        <w:t xml:space="preserve"> acordo adjudicando os bens imóveis da empresa sem que o instrumento de mandato a ele conferido autorizasse a alienação de patrim</w:t>
      </w:r>
      <w:r>
        <w:rPr>
          <w:rFonts w:ascii="Times New Roman" w:hAnsi="Times New Roman" w:cs="Times New Roman"/>
          <w:color w:val="auto"/>
          <w:lang w:val="pt-BR"/>
        </w:rPr>
        <w:t xml:space="preserve">ônio é fundamento suficiente para invalidar a transação, ensejando, portanto, </w:t>
      </w:r>
      <w:r w:rsidRPr="007B708D">
        <w:rPr>
          <w:rFonts w:ascii="Times New Roman" w:hAnsi="Times New Roman" w:cs="Times New Roman"/>
          <w:color w:val="auto"/>
          <w:lang w:val="pt-BR"/>
        </w:rPr>
        <w:t>o corte rescisório</w:t>
      </w:r>
      <w:r>
        <w:rPr>
          <w:rFonts w:ascii="Times New Roman" w:hAnsi="Times New Roman" w:cs="Times New Roman"/>
          <w:color w:val="auto"/>
          <w:lang w:val="pt-BR"/>
        </w:rPr>
        <w:t>,</w:t>
      </w:r>
      <w:r w:rsidRPr="007B708D">
        <w:rPr>
          <w:rFonts w:ascii="Times New Roman" w:hAnsi="Times New Roman" w:cs="Times New Roman"/>
          <w:color w:val="auto"/>
          <w:lang w:val="pt-BR"/>
        </w:rPr>
        <w:t xml:space="preserve"> nos termos do art. 485, VIII, do CPC. Com esses fundamentos, a SBDI-II, por unanimidade, conheceu dos recursos ordinários, no tópico, e, no mérito, negou-lhes provimento, mantendo a decisão do Regional que determinou a rescisão da sentença homologatória do acordo firmado em juízo.</w:t>
      </w:r>
      <w:r w:rsidRPr="000D6DD1">
        <w:rPr>
          <w:rFonts w:ascii="Times New Roman" w:hAnsi="Times New Roman" w:cs="Times New Roman"/>
          <w:color w:val="auto"/>
          <w:lang w:val="pt-BR"/>
        </w:rPr>
        <w:t xml:space="preserve"> </w:t>
      </w:r>
      <w:hyperlink r:id="rId13" w:history="1">
        <w:r w:rsidRPr="000D6DD1">
          <w:rPr>
            <w:rStyle w:val="Hyperlink"/>
            <w:rFonts w:ascii="Times New Roman" w:hAnsi="Times New Roman"/>
            <w:lang w:val="pt-BR"/>
          </w:rPr>
          <w:t>TST-RO-95200-51.2007.5.15.0000</w:t>
        </w:r>
      </w:hyperlink>
      <w:r w:rsidRPr="007B708D">
        <w:rPr>
          <w:rFonts w:ascii="Times New Roman" w:hAnsi="Times New Roman" w:cs="Times New Roman"/>
          <w:color w:val="auto"/>
          <w:u w:val="single"/>
          <w:lang w:val="pt-BR"/>
        </w:rPr>
        <w:t xml:space="preserve">, SBDI-II, rel. </w:t>
      </w:r>
      <w:r>
        <w:rPr>
          <w:rFonts w:ascii="Times New Roman" w:hAnsi="Times New Roman" w:cs="Times New Roman"/>
          <w:color w:val="auto"/>
          <w:u w:val="single"/>
          <w:lang w:val="pt-BR"/>
        </w:rPr>
        <w:t xml:space="preserve">Min. </w:t>
      </w:r>
      <w:r w:rsidRPr="007B708D">
        <w:rPr>
          <w:rFonts w:ascii="Times New Roman" w:hAnsi="Times New Roman" w:cs="Times New Roman"/>
          <w:color w:val="auto"/>
          <w:u w:val="single"/>
          <w:lang w:val="pt-BR"/>
        </w:rPr>
        <w:t>Al</w:t>
      </w:r>
      <w:r>
        <w:rPr>
          <w:rFonts w:ascii="Times New Roman" w:hAnsi="Times New Roman" w:cs="Times New Roman"/>
          <w:color w:val="auto"/>
          <w:u w:val="single"/>
          <w:lang w:val="pt-BR"/>
        </w:rPr>
        <w:t>berto Luiz Bresciani de Fontan Pereira</w:t>
      </w:r>
      <w:r w:rsidRPr="007B708D">
        <w:rPr>
          <w:rFonts w:ascii="Times New Roman" w:hAnsi="Times New Roman" w:cs="Times New Roman"/>
          <w:color w:val="auto"/>
          <w:u w:val="single"/>
          <w:lang w:val="pt-BR"/>
        </w:rPr>
        <w:t xml:space="preserve">, </w:t>
      </w:r>
      <w:r>
        <w:rPr>
          <w:rFonts w:ascii="Times New Roman" w:hAnsi="Times New Roman" w:cs="Times New Roman"/>
          <w:color w:val="auto"/>
          <w:u w:val="single"/>
          <w:lang w:val="pt-BR"/>
        </w:rPr>
        <w:t>22</w:t>
      </w:r>
      <w:r w:rsidRPr="007B708D">
        <w:rPr>
          <w:rFonts w:ascii="Times New Roman" w:hAnsi="Times New Roman" w:cs="Times New Roman"/>
          <w:color w:val="auto"/>
          <w:u w:val="single"/>
          <w:lang w:val="pt-BR"/>
        </w:rPr>
        <w:t>.</w:t>
      </w:r>
      <w:r>
        <w:rPr>
          <w:rFonts w:ascii="Times New Roman" w:hAnsi="Times New Roman" w:cs="Times New Roman"/>
          <w:color w:val="auto"/>
          <w:u w:val="single"/>
          <w:lang w:val="pt-BR"/>
        </w:rPr>
        <w:t>10</w:t>
      </w:r>
      <w:r w:rsidRPr="007B708D">
        <w:rPr>
          <w:rFonts w:ascii="Times New Roman" w:hAnsi="Times New Roman" w:cs="Times New Roman"/>
          <w:color w:val="auto"/>
          <w:u w:val="single"/>
          <w:lang w:val="pt-BR"/>
        </w:rPr>
        <w:t>.2013</w:t>
      </w: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22" w:rsidRDefault="00872E22">
      <w:r>
        <w:separator/>
      </w:r>
    </w:p>
  </w:endnote>
  <w:endnote w:type="continuationSeparator" w:id="0">
    <w:p w:rsidR="00872E22" w:rsidRDefault="0087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7E1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DD7E14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22" w:rsidRDefault="00872E22">
      <w:r>
        <w:separator/>
      </w:r>
    </w:p>
  </w:footnote>
  <w:footnote w:type="continuationSeparator" w:id="0">
    <w:p w:rsidR="00872E22" w:rsidRDefault="0087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002C4A">
      <w:rPr>
        <w:shadow/>
        <w:sz w:val="24"/>
        <w:szCs w:val="24"/>
      </w:rPr>
      <w:t>64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002C4A">
      <w:rPr>
        <w:sz w:val="20"/>
        <w:szCs w:val="20"/>
      </w:rPr>
      <w:t>22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002C4A">
      <w:rPr>
        <w:sz w:val="20"/>
        <w:szCs w:val="20"/>
      </w:rPr>
      <w:t>28</w:t>
    </w:r>
    <w:r w:rsidR="00FE00AD" w:rsidRPr="00971E07">
      <w:rPr>
        <w:sz w:val="20"/>
        <w:szCs w:val="20"/>
      </w:rPr>
      <w:t xml:space="preserve"> de </w:t>
    </w:r>
    <w:r w:rsidR="00002C4A">
      <w:rPr>
        <w:sz w:val="20"/>
        <w:szCs w:val="20"/>
      </w:rPr>
      <w:t>outubro</w:t>
    </w:r>
    <w:r w:rsidR="00FE00AD" w:rsidRPr="00971E07">
      <w:rPr>
        <w:sz w:val="20"/>
        <w:szCs w:val="20"/>
      </w:rPr>
      <w:t xml:space="preserve"> de 20</w:t>
    </w:r>
    <w:r w:rsidR="00E16E01" w:rsidRPr="00971E07">
      <w:rPr>
        <w:sz w:val="20"/>
        <w:szCs w:val="20"/>
      </w:rPr>
      <w:t>1</w:t>
    </w:r>
    <w:r w:rsidR="00002C4A">
      <w:rPr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8A2414">
      <w:rPr>
        <w:b/>
        <w:sz w:val="40"/>
        <w:szCs w:val="40"/>
      </w:rPr>
      <w:t>64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8A2414">
      <w:rPr>
        <w:i/>
        <w:iCs/>
      </w:rPr>
      <w:t>22</w:t>
    </w:r>
    <w:r w:rsidR="00FE00AD" w:rsidRPr="005D1DE4">
      <w:rPr>
        <w:i/>
        <w:iCs/>
      </w:rPr>
      <w:t xml:space="preserve"> a </w:t>
    </w:r>
    <w:r w:rsidR="008A2414">
      <w:rPr>
        <w:i/>
        <w:iCs/>
      </w:rPr>
      <w:t>28</w:t>
    </w:r>
    <w:r w:rsidR="00FE00AD" w:rsidRPr="005D1DE4">
      <w:rPr>
        <w:i/>
        <w:iCs/>
      </w:rPr>
      <w:t xml:space="preserve"> de </w:t>
    </w:r>
    <w:r w:rsidR="008A2414">
      <w:rPr>
        <w:i/>
        <w:iCs/>
      </w:rPr>
      <w:t>outubro</w:t>
    </w:r>
    <w:r w:rsidR="00FE00AD" w:rsidRPr="005D1DE4">
      <w:rPr>
        <w:i/>
        <w:iCs/>
      </w:rPr>
      <w:t xml:space="preserve"> de 201</w:t>
    </w:r>
    <w:r w:rsidR="008A2414">
      <w:rPr>
        <w:i/>
        <w:iCs/>
      </w:rPr>
      <w:t>3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2C4A"/>
    <w:rsid w:val="00004C36"/>
    <w:rsid w:val="000228E6"/>
    <w:rsid w:val="000260C1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D6DD1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72E22"/>
    <w:rsid w:val="008842D0"/>
    <w:rsid w:val="00884AC4"/>
    <w:rsid w:val="0088579D"/>
    <w:rsid w:val="008A2414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D7E14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f01">
    <w:name w:val="f01"/>
    <w:rsid w:val="008A2414"/>
    <w:rPr>
      <w:rFonts w:ascii="Courier New" w:hAnsi="Courier Ne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184500&amp;digitoTst=06&amp;anoTst=2009&amp;orgaoTst=5&amp;tribunalTst=02&amp;varaTst=0262" TargetMode="External"/><Relationship Id="rId13" Type="http://schemas.openxmlformats.org/officeDocument/2006/relationships/hyperlink" Target="https://aplicacao5.tst.jus.br/consultaProcessual/consultaTstNumUnica.do?consulta=Consultar&amp;conscsjt=&amp;numeroTst=95200&amp;digitoTst=51&amp;anoTst=2007&amp;orgaoTst=5&amp;tribunalTst=15&amp;varaTst=0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icacao5.tst.jus.br/consultaProcessual/consultaTstNumUnica.do?consulta=Consultar&amp;conscsjt=&amp;numeroTst=51900&amp;digitoTst=41&amp;anoTst=2005&amp;orgaoTst=5&amp;tribunalTst=09&amp;varaTst=065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99100&amp;digitoTst=36&amp;anoTst=2009&amp;orgaoTst=5&amp;tribunalTst=18&amp;varaTst=021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licacao5.tst.jus.br/consultaProcessual/consultaTstNumUnica.do?consulta=Consultar&amp;conscsjt=&amp;numeroTst=3070300&amp;digitoTst=42&amp;anoTst=2008&amp;orgaoTst=5&amp;tribunalTst=09&amp;varaTst=00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861100&amp;digitoTst=13&amp;anoTst=2002&amp;orgaoTst=5&amp;tribunalTst=12&amp;varaTst=090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25F0-C3D4-4890-8EDD-EC0E867C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1384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8846</CharactersWithSpaces>
  <SharedDoc>false</SharedDoc>
  <HLinks>
    <vt:vector size="36" baseType="variant">
      <vt:variant>
        <vt:i4>1572866</vt:i4>
      </vt:variant>
      <vt:variant>
        <vt:i4>15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https://aplicacao5.tst.jus.br/consultaProcessual/consultaTstNumUnica.do?consulta=Consultar&amp;conscsjt=&amp;numeroTst=95200&amp;digitoTst=51&amp;anoTst=2007&amp;orgaoTst=5&amp;tribunalTst=15&amp;varaTst=0000</vt:lpwstr>
      </vt:variant>
      <vt:variant>
        <vt:lpwstr/>
      </vt:variant>
      <vt:variant>
        <vt:i4>1114125</vt:i4>
      </vt:variant>
      <vt:variant>
        <vt:i4>12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https://aplicacao5.tst.jus.br/consultaProcessual/consultaTstNumUnica.do?consulta=Consultar&amp;conscsjt=&amp;numeroTst=51900&amp;digitoTst=41&amp;anoTst=2005&amp;orgaoTst=5&amp;tribunalTst=09&amp;varaTst=0658</vt:lpwstr>
      </vt:variant>
      <vt:variant>
        <vt:lpwstr/>
      </vt:variant>
      <vt:variant>
        <vt:i4>1966091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https://aplicacao5.tst.jus.br/consultaProcessual/consultaTstNumUnica.do?consulta=Consultar&amp;conscsjt=&amp;numeroTst=99100&amp;digitoTst=36&amp;anoTst=2009&amp;orgaoTst=5&amp;tribunalTst=18&amp;varaTst=0211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https://aplicacao5.tst.jus.br/consultaProcessual/consultaTstNumUnica.do?consulta=Consultar&amp;conscsjt=&amp;numeroTst=3070300&amp;digitoTst=42&amp;anoTst=2008&amp;orgaoTst=5&amp;tribunalTst=09&amp;varaTst=0013</vt:lpwstr>
      </vt:variant>
      <vt:variant>
        <vt:lpwstr/>
      </vt:variant>
      <vt:variant>
        <vt:i4>5308486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https://aplicacao5.tst.jus.br/consultaProcessual/consultaTstNumUnica.do?consulta=Consultar&amp;conscsjt=&amp;numeroTst=861100&amp;digitoTst=13&amp;anoTst=2002&amp;orgaoTst=5&amp;tribunalTst=12&amp;varaTst=0900</vt:lpwstr>
      </vt:variant>
      <vt:variant>
        <vt:lpwstr/>
      </vt:variant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https://aplicacao5.tst.jus.br/consultaProcessual/consultaTstNumUnica.do?consulta=Consultar&amp;conscsjt=&amp;numeroTst=184500&amp;digitoTst=06&amp;anoTst=2009&amp;orgaoTst=5&amp;tribunalTst=02&amp;varaTst=0262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2018-06-27T21:44:00Z</dcterms:created>
  <dcterms:modified xsi:type="dcterms:W3CDTF">2018-06-27T21:44:00Z</dcterms:modified>
</cp:coreProperties>
</file>