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49" w:rsidRDefault="00A51749">
      <w:bookmarkStart w:id="0" w:name="_GoBack"/>
      <w:bookmarkEnd w:id="0"/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26DFB" w:rsidRPr="00187A37" w:rsidTr="00631F1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9709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FE00AD" w:rsidRPr="005D1DE4" w:rsidRDefault="00FE00AD" w:rsidP="00F82D8F">
      <w:pPr>
        <w:pStyle w:val="Corpodetexto2"/>
        <w:jc w:val="center"/>
        <w:rPr>
          <w:b/>
          <w:bCs/>
          <w:emboss/>
          <w:sz w:val="10"/>
          <w:szCs w:val="10"/>
        </w:rPr>
      </w:pPr>
    </w:p>
    <w:p w:rsidR="00F32342" w:rsidRPr="007547EF" w:rsidRDefault="00F32342" w:rsidP="00FA7116">
      <w:pPr>
        <w:jc w:val="both"/>
        <w:rPr>
          <w:b/>
          <w:i/>
          <w:sz w:val="24"/>
          <w:szCs w:val="24"/>
        </w:rPr>
      </w:pPr>
      <w:r w:rsidRPr="007547EF">
        <w:rPr>
          <w:b/>
          <w:i/>
          <w:sz w:val="24"/>
          <w:szCs w:val="24"/>
        </w:rPr>
        <w:t>Execução fiscal. Inclusão em programa de parcelamento. Suspensão da execução trabalhista.</w:t>
      </w:r>
      <w:r>
        <w:rPr>
          <w:b/>
          <w:i/>
          <w:sz w:val="24"/>
          <w:szCs w:val="24"/>
        </w:rPr>
        <w:t xml:space="preserve"> Novação. Não configuração.</w:t>
      </w:r>
    </w:p>
    <w:p w:rsidR="00F32342" w:rsidRPr="007547EF" w:rsidRDefault="00F32342" w:rsidP="00FA7116">
      <w:pPr>
        <w:jc w:val="both"/>
        <w:rPr>
          <w:sz w:val="24"/>
          <w:szCs w:val="24"/>
        </w:rPr>
      </w:pPr>
      <w:r w:rsidRPr="007547EF">
        <w:rPr>
          <w:sz w:val="24"/>
          <w:szCs w:val="24"/>
        </w:rPr>
        <w:t>O parcelamento de débito contraído com a Fazenda Nacional, de qualquer natureza, instituído pelas Leis n.</w:t>
      </w:r>
      <w:r>
        <w:rPr>
          <w:sz w:val="24"/>
          <w:szCs w:val="24"/>
          <w:vertAlign w:val="superscript"/>
        </w:rPr>
        <w:t>os</w:t>
      </w:r>
      <w:r w:rsidRPr="007547EF">
        <w:rPr>
          <w:sz w:val="24"/>
          <w:szCs w:val="24"/>
        </w:rPr>
        <w:t xml:space="preserve"> 10.522/02 e 10.684/03, implica</w:t>
      </w:r>
      <w:r>
        <w:rPr>
          <w:sz w:val="24"/>
          <w:szCs w:val="24"/>
        </w:rPr>
        <w:t xml:space="preserve"> tão </w:t>
      </w:r>
      <w:r w:rsidRPr="007547EF">
        <w:rPr>
          <w:sz w:val="24"/>
          <w:szCs w:val="24"/>
        </w:rPr>
        <w:t>somente a suspensão da exigibilidade do crédito tributário enquanto perdurar o período do parcelamento</w:t>
      </w:r>
      <w:r>
        <w:rPr>
          <w:sz w:val="24"/>
          <w:szCs w:val="24"/>
        </w:rPr>
        <w:t>, não constituindo novação</w:t>
      </w:r>
      <w:r w:rsidRPr="007547EF">
        <w:rPr>
          <w:sz w:val="24"/>
          <w:szCs w:val="24"/>
        </w:rPr>
        <w:t>. Com esse entendimento, a SBDI-I, por unanimidade, conheceu do recurso de embargos interposto pela União (PGFN), por divergência jurisprudencial, e, no mérito, deu-lhe provimento para afastar a extinção da execução e determinar a suspensão do processo executivo no período do parcelamento, até a quitação do débito</w:t>
      </w:r>
      <w:r>
        <w:rPr>
          <w:sz w:val="24"/>
          <w:szCs w:val="24"/>
        </w:rPr>
        <w:t>, retomando-se a execução caso não honradas as parcelas</w:t>
      </w:r>
      <w:r w:rsidRPr="007547EF">
        <w:rPr>
          <w:sz w:val="24"/>
          <w:szCs w:val="24"/>
        </w:rPr>
        <w:t xml:space="preserve">. </w:t>
      </w:r>
      <w:hyperlink r:id="rId8" w:history="1">
        <w:r w:rsidRPr="00740E50">
          <w:rPr>
            <w:rStyle w:val="Hyperlink"/>
            <w:sz w:val="24"/>
            <w:szCs w:val="24"/>
          </w:rPr>
          <w:t>TST-E-ED-RR-289-24.2010.5.03.0114</w:t>
        </w:r>
      </w:hyperlink>
      <w:r w:rsidRPr="00740E50">
        <w:rPr>
          <w:sz w:val="24"/>
          <w:szCs w:val="24"/>
          <w:u w:val="single"/>
        </w:rPr>
        <w:t>, SBDI-I, rel. Min. Aloysio Corrêa da Veiga, 19.4.2012.</w:t>
      </w:r>
      <w:r w:rsidRPr="007547EF">
        <w:rPr>
          <w:sz w:val="24"/>
          <w:szCs w:val="24"/>
        </w:rPr>
        <w:t xml:space="preserve">    </w:t>
      </w:r>
    </w:p>
    <w:p w:rsidR="002C2904" w:rsidRDefault="002C2904" w:rsidP="002C2904">
      <w:pPr>
        <w:ind w:right="-567"/>
        <w:jc w:val="both"/>
        <w:rPr>
          <w:sz w:val="10"/>
          <w:szCs w:val="10"/>
        </w:rPr>
      </w:pPr>
    </w:p>
    <w:p w:rsidR="00B15A8B" w:rsidRDefault="00B15A8B" w:rsidP="002C2904">
      <w:pPr>
        <w:ind w:right="-567"/>
        <w:jc w:val="both"/>
        <w:rPr>
          <w:sz w:val="10"/>
          <w:szCs w:val="10"/>
        </w:rPr>
      </w:pPr>
    </w:p>
    <w:p w:rsidR="00F32342" w:rsidRDefault="00F32342" w:rsidP="00FA71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Servidor público. Relação de caráter estatutário. Pedidos relativos ao recolhimento do FGTS e à anotação da CTPS. Incompetência da Justiça do Trabalho. </w:t>
      </w:r>
    </w:p>
    <w:p w:rsidR="00F32342" w:rsidRDefault="00F32342" w:rsidP="00FA711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Não obstante os pedidos de recolhimento do FGTS e de anotação da CTPS sejam estranhos ao regime jurídico estatutário, é incompetente a Justiça do Trabalho para julgar demandas entre a Administração Pública e seus servidores, em razão da natureza administrativa do vínculo. Na espécie, respaldada em farta jurisprudência tanto do STF como do próprio TST, a SBDI-I, por unanimidade, conheceu dos embargos, e, no mérito, negou-lhes provimento, mantendo a decisão da Terceira Turma, que conhecera da revista por violação do art. 114 da CF e, no mérito, dera-lhe provimento para determinar a remessa dos autos à origem, a fim de providenciar seu envio à Justiça Comum. </w:t>
      </w:r>
      <w:hyperlink r:id="rId9" w:history="1">
        <w:r w:rsidRPr="008452AB">
          <w:rPr>
            <w:rStyle w:val="Hyperlink"/>
            <w:sz w:val="24"/>
            <w:szCs w:val="24"/>
          </w:rPr>
          <w:t>TST-E-RR-124000-42.2008.5.22.0103</w:t>
        </w:r>
      </w:hyperlink>
      <w:r>
        <w:rPr>
          <w:sz w:val="24"/>
          <w:szCs w:val="24"/>
          <w:u w:val="single"/>
        </w:rPr>
        <w:t>, SBDI-I, rel. Min. Brito Pereira, 19.4.2012.</w:t>
      </w:r>
    </w:p>
    <w:p w:rsidR="00B14F7F" w:rsidRDefault="00B14F7F" w:rsidP="000C3022">
      <w:pPr>
        <w:ind w:right="-567"/>
        <w:jc w:val="both"/>
        <w:rPr>
          <w:b/>
          <w:i/>
          <w:sz w:val="10"/>
          <w:szCs w:val="10"/>
        </w:rPr>
      </w:pPr>
    </w:p>
    <w:p w:rsidR="00B15A8B" w:rsidRPr="005D1DE4" w:rsidRDefault="00B15A8B" w:rsidP="000C3022">
      <w:pPr>
        <w:ind w:right="-567"/>
        <w:jc w:val="both"/>
        <w:rPr>
          <w:b/>
          <w:i/>
          <w:sz w:val="10"/>
          <w:szCs w:val="10"/>
        </w:rPr>
      </w:pPr>
    </w:p>
    <w:p w:rsidR="00BC1DE7" w:rsidRPr="005D1DE4" w:rsidRDefault="00BC1DE7" w:rsidP="00C71A3B">
      <w:pPr>
        <w:pStyle w:val="Corpo"/>
        <w:spacing w:line="240" w:lineRule="auto"/>
        <w:ind w:firstLine="0"/>
        <w:rPr>
          <w:rFonts w:ascii="Times New Roman" w:hAnsi="Times New Roman" w:cs="Times New Roman"/>
          <w:sz w:val="10"/>
          <w:szCs w:val="10"/>
          <w:u w:val="single"/>
          <w:lang w:val="pt-BR" w:eastAsia="en-US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9027C8" w:rsidRDefault="009027C8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B15A8B" w:rsidRPr="005D1DE4" w:rsidRDefault="00B15A8B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i/>
          <w:caps w:val="0"/>
          <w:color w:val="auto"/>
          <w:sz w:val="10"/>
          <w:szCs w:val="10"/>
        </w:rPr>
      </w:pPr>
    </w:p>
    <w:p w:rsidR="00FA7116" w:rsidRPr="00864647" w:rsidRDefault="00FA7116" w:rsidP="00A44A47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MS</w:t>
      </w:r>
      <w:r w:rsidRPr="00864647">
        <w:rPr>
          <w:b/>
          <w:i/>
          <w:sz w:val="24"/>
          <w:szCs w:val="24"/>
        </w:rPr>
        <w:t xml:space="preserve">. Execução </w:t>
      </w:r>
      <w:r>
        <w:rPr>
          <w:b/>
          <w:i/>
          <w:sz w:val="24"/>
          <w:szCs w:val="24"/>
        </w:rPr>
        <w:t>f</w:t>
      </w:r>
      <w:r w:rsidRPr="00864647">
        <w:rPr>
          <w:b/>
          <w:i/>
          <w:sz w:val="24"/>
          <w:szCs w:val="24"/>
        </w:rPr>
        <w:t>iscal para cobrança de multa administrativa imposta por infração à legislação trabalhista. Determinação de pen</w:t>
      </w:r>
      <w:r>
        <w:rPr>
          <w:b/>
          <w:i/>
          <w:sz w:val="24"/>
          <w:szCs w:val="24"/>
        </w:rPr>
        <w:t xml:space="preserve">hora de numerário via BacenJud. </w:t>
      </w:r>
      <w:r w:rsidRPr="00864647">
        <w:rPr>
          <w:b/>
          <w:i/>
          <w:sz w:val="24"/>
          <w:szCs w:val="24"/>
        </w:rPr>
        <w:t>Legalidade do ato coator. Aplicação analógica da Súmula nº 417, I, do TST.</w:t>
      </w:r>
    </w:p>
    <w:p w:rsidR="00FA7116" w:rsidRDefault="00FA7116" w:rsidP="00A44A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 sede </w:t>
      </w:r>
      <w:r w:rsidRPr="00864647">
        <w:rPr>
          <w:sz w:val="24"/>
          <w:szCs w:val="24"/>
        </w:rPr>
        <w:t xml:space="preserve">de execução definitiva de título executivo extrajudicial, </w:t>
      </w:r>
      <w:r w:rsidRPr="00D468B6">
        <w:rPr>
          <w:i/>
          <w:sz w:val="24"/>
          <w:szCs w:val="24"/>
        </w:rPr>
        <w:t>in casu</w:t>
      </w:r>
      <w:r>
        <w:rPr>
          <w:sz w:val="24"/>
          <w:szCs w:val="24"/>
        </w:rPr>
        <w:t xml:space="preserve">, execução fiscal para cobrança de multa administrativa imposta por infração à legislação trabalhista, </w:t>
      </w:r>
      <w:r w:rsidRPr="00864647">
        <w:rPr>
          <w:sz w:val="24"/>
          <w:szCs w:val="24"/>
        </w:rPr>
        <w:t xml:space="preserve">não </w:t>
      </w:r>
      <w:r>
        <w:rPr>
          <w:sz w:val="24"/>
          <w:szCs w:val="24"/>
        </w:rPr>
        <w:t>viola</w:t>
      </w:r>
      <w:r w:rsidRPr="00864647">
        <w:rPr>
          <w:sz w:val="24"/>
          <w:szCs w:val="24"/>
        </w:rPr>
        <w:t xml:space="preserve"> direito líquido e certo o ato judicial</w:t>
      </w:r>
      <w:r>
        <w:rPr>
          <w:sz w:val="24"/>
          <w:szCs w:val="24"/>
        </w:rPr>
        <w:t xml:space="preserve"> </w:t>
      </w:r>
      <w:r w:rsidRPr="00864647">
        <w:rPr>
          <w:sz w:val="24"/>
          <w:szCs w:val="24"/>
        </w:rPr>
        <w:t>que indefere a penhora de bens indicados e determina a constrição sobre dinheiro</w:t>
      </w:r>
      <w:r>
        <w:rPr>
          <w:sz w:val="24"/>
          <w:szCs w:val="24"/>
        </w:rPr>
        <w:t>, via BacenJud,</w:t>
      </w:r>
      <w:r w:rsidRPr="00864647">
        <w:rPr>
          <w:sz w:val="24"/>
          <w:szCs w:val="24"/>
        </w:rPr>
        <w:t xml:space="preserve"> em contas bancárias da executada, porquanto atendida a gradação contida no art</w:t>
      </w:r>
      <w:r>
        <w:rPr>
          <w:sz w:val="24"/>
          <w:szCs w:val="24"/>
        </w:rPr>
        <w:t>.</w:t>
      </w:r>
      <w:r w:rsidRPr="00864647">
        <w:rPr>
          <w:sz w:val="24"/>
          <w:szCs w:val="24"/>
        </w:rPr>
        <w:t xml:space="preserve"> 655 do </w:t>
      </w:r>
      <w:r>
        <w:rPr>
          <w:sz w:val="24"/>
          <w:szCs w:val="24"/>
        </w:rPr>
        <w:t>CPC</w:t>
      </w:r>
      <w:r w:rsidRPr="00864647">
        <w:rPr>
          <w:sz w:val="24"/>
          <w:szCs w:val="24"/>
        </w:rPr>
        <w:t xml:space="preserve">. Aplicação, por analogia, da Súmula nº 417, I, do TST. Com esse entendimento, a SBDI-II conheceu do reexame necessário e do recurso ordinário, e, no mérito, deu-lhes provimento para, reformando o acórdão recorrido, denegar a segurança. </w:t>
      </w:r>
      <w:r>
        <w:rPr>
          <w:sz w:val="24"/>
          <w:szCs w:val="24"/>
        </w:rPr>
        <w:t>Na hipótese, r</w:t>
      </w:r>
      <w:r w:rsidRPr="00864647">
        <w:rPr>
          <w:sz w:val="24"/>
          <w:szCs w:val="24"/>
        </w:rPr>
        <w:t xml:space="preserve">egistrou-se, ainda, que a impetrante não demonstrou que o referido bloqueio inviabilizaria suas atividades, sendo inaplicável, portanto, o teor da Orientação Jurisprudencial n.º 93 da SBDI-I. </w:t>
      </w:r>
      <w:hyperlink r:id="rId10" w:history="1">
        <w:r w:rsidRPr="00F7062B">
          <w:rPr>
            <w:rStyle w:val="Hyperlink"/>
            <w:sz w:val="24"/>
            <w:szCs w:val="24"/>
          </w:rPr>
          <w:t>TST-RXOF e ROMS-1353800-27.2007.5.02.0000</w:t>
        </w:r>
      </w:hyperlink>
      <w:r w:rsidRPr="001E4634">
        <w:rPr>
          <w:sz w:val="24"/>
          <w:szCs w:val="24"/>
          <w:u w:val="single"/>
        </w:rPr>
        <w:t>, SBDI-II, rel. Min. Emmanoel Pereira, 17.4.2012</w:t>
      </w:r>
    </w:p>
    <w:p w:rsidR="00FA7116" w:rsidRPr="00DB4DAC" w:rsidRDefault="00B15A8B" w:rsidP="00B15A8B">
      <w:pPr>
        <w:jc w:val="both"/>
        <w:rPr>
          <w:b/>
          <w:i/>
          <w:sz w:val="24"/>
          <w:szCs w:val="24"/>
        </w:rPr>
      </w:pPr>
      <w:r>
        <w:rPr>
          <w:sz w:val="10"/>
          <w:szCs w:val="10"/>
          <w:u w:val="single"/>
        </w:rPr>
        <w:br w:type="page"/>
      </w:r>
      <w:r w:rsidR="00FA7116" w:rsidRPr="00DB4DAC">
        <w:rPr>
          <w:b/>
          <w:i/>
          <w:sz w:val="24"/>
          <w:szCs w:val="24"/>
        </w:rPr>
        <w:lastRenderedPageBreak/>
        <w:t>AR. Política salarial. Lei federal. Empregado público estadual. Não incidência. Art. 22, I, da CF. Violação.</w:t>
      </w:r>
      <w:r w:rsidR="00FA7116">
        <w:rPr>
          <w:b/>
          <w:i/>
          <w:sz w:val="24"/>
          <w:szCs w:val="24"/>
        </w:rPr>
        <w:t xml:space="preserve"> Orientação Jurisprudencial nº 100 da SBDI-I.</w:t>
      </w:r>
    </w:p>
    <w:p w:rsidR="00FA7116" w:rsidRPr="00D41C93" w:rsidRDefault="00FA7116" w:rsidP="00FA7116">
      <w:pPr>
        <w:jc w:val="both"/>
        <w:rPr>
          <w:u w:val="single"/>
        </w:rPr>
      </w:pPr>
      <w:r w:rsidRPr="00DB4DAC">
        <w:rPr>
          <w:sz w:val="24"/>
          <w:szCs w:val="24"/>
        </w:rPr>
        <w:t xml:space="preserve">Viola a literalidade do art. 22, I, da CF decisão que afasta a aplicação de lei federal </w:t>
      </w:r>
      <w:r>
        <w:rPr>
          <w:sz w:val="24"/>
          <w:szCs w:val="24"/>
        </w:rPr>
        <w:t xml:space="preserve">que trata de </w:t>
      </w:r>
      <w:r w:rsidRPr="00DB4DAC">
        <w:rPr>
          <w:sz w:val="24"/>
          <w:szCs w:val="24"/>
        </w:rPr>
        <w:t>política salarial a empregado público estadual, po</w:t>
      </w:r>
      <w:r>
        <w:rPr>
          <w:sz w:val="24"/>
          <w:szCs w:val="24"/>
        </w:rPr>
        <w:t>is</w:t>
      </w:r>
      <w:r w:rsidRPr="00DB4DAC">
        <w:rPr>
          <w:sz w:val="24"/>
          <w:szCs w:val="24"/>
        </w:rPr>
        <w:t xml:space="preserve"> compete privativamente à U</w:t>
      </w:r>
      <w:r>
        <w:rPr>
          <w:sz w:val="24"/>
          <w:szCs w:val="24"/>
        </w:rPr>
        <w:t>nião legislar sobre direito do t</w:t>
      </w:r>
      <w:r w:rsidRPr="00DB4DAC">
        <w:rPr>
          <w:sz w:val="24"/>
          <w:szCs w:val="24"/>
        </w:rPr>
        <w:t>rabalho. Inteligência da Orientação Jurisprudencial nº 100 da SBDI-I. Com esse entendimento, a SBDI-II, por unanimidade, deu provimento a recurso ordinário para, em juízo rescindente, julgar procedente pedido de corte rescisório por violação do art. 22, I, da CF, rescindindo parcialmente acórdão proferido pelo TRT da 2ª Região</w:t>
      </w:r>
      <w:r>
        <w:rPr>
          <w:sz w:val="24"/>
          <w:szCs w:val="24"/>
        </w:rPr>
        <w:t>,</w:t>
      </w:r>
      <w:r w:rsidRPr="00DB4DAC">
        <w:rPr>
          <w:sz w:val="24"/>
          <w:szCs w:val="24"/>
        </w:rPr>
        <w:t xml:space="preserve"> e, em juízo rescisório, restabelecer a sentença de primeiro grau no ponto.</w:t>
      </w:r>
      <w:r>
        <w:t xml:space="preserve"> </w:t>
      </w:r>
      <w:hyperlink r:id="rId11" w:history="1">
        <w:r w:rsidRPr="00F7062B">
          <w:rPr>
            <w:rStyle w:val="Hyperlink"/>
            <w:sz w:val="24"/>
            <w:szCs w:val="24"/>
          </w:rPr>
          <w:t>TST-RO-1265400-42.2004.5.02.0000</w:t>
        </w:r>
      </w:hyperlink>
      <w:r w:rsidRPr="00DB4DAC">
        <w:rPr>
          <w:sz w:val="24"/>
          <w:szCs w:val="24"/>
          <w:u w:val="single"/>
        </w:rPr>
        <w:t>, SBDI-II, rel. Min. Emmanoel Pereira, 24.4.2012</w:t>
      </w:r>
    </w:p>
    <w:p w:rsidR="00FA7116" w:rsidRPr="00FA7116" w:rsidRDefault="00FA7116" w:rsidP="00FA7116">
      <w:pPr>
        <w:ind w:right="-567"/>
        <w:jc w:val="both"/>
        <w:rPr>
          <w:sz w:val="10"/>
          <w:szCs w:val="10"/>
          <w:u w:val="single"/>
        </w:rPr>
      </w:pPr>
    </w:p>
    <w:p w:rsidR="00EA29F5" w:rsidRPr="005D1DE4" w:rsidRDefault="00EA29F5" w:rsidP="004B21AD">
      <w:pPr>
        <w:pStyle w:val="EXPLICAO"/>
        <w:ind w:left="0"/>
        <w:rPr>
          <w:rFonts w:ascii="Times New Roman" w:hAnsi="Times New Roman" w:cs="Times New Roman"/>
          <w:b/>
          <w:color w:val="auto"/>
          <w:sz w:val="10"/>
          <w:szCs w:val="10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4B21AD" w:rsidRPr="005D1DE4" w:rsidRDefault="004B21AD" w:rsidP="009027C8">
      <w:pPr>
        <w:pStyle w:val="tema"/>
        <w:tabs>
          <w:tab w:val="left" w:pos="11482"/>
          <w:tab w:val="left" w:pos="11624"/>
        </w:tabs>
        <w:ind w:left="0"/>
        <w:rPr>
          <w:rFonts w:ascii="Times New Roman" w:hAnsi="Times New Roman" w:cs="Times New Roman"/>
          <w:bCs w:val="0"/>
          <w:i/>
          <w:iCs/>
          <w:caps w:val="0"/>
          <w:color w:val="auto"/>
        </w:rPr>
      </w:pPr>
    </w:p>
    <w:p w:rsidR="006456B1" w:rsidRPr="005D1DE4" w:rsidRDefault="006456B1" w:rsidP="004C2612">
      <w:pPr>
        <w:pStyle w:val="EXPLICAO"/>
        <w:ind w:left="0"/>
        <w:rPr>
          <w:rFonts w:ascii="Times New Roman" w:hAnsi="Times New Roman" w:cs="Times New Roman"/>
          <w:b/>
          <w:color w:val="auto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C26DFB" w:rsidRPr="005D1DE4" w:rsidRDefault="00C26DFB">
      <w:pPr>
        <w:jc w:val="both"/>
        <w:rPr>
          <w:sz w:val="22"/>
          <w:szCs w:val="22"/>
          <w:u w:val="single"/>
        </w:rPr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73" w:rsidRDefault="00143F73">
      <w:r>
        <w:separator/>
      </w:r>
    </w:p>
  </w:endnote>
  <w:endnote w:type="continuationSeparator" w:id="0">
    <w:p w:rsidR="00143F73" w:rsidRDefault="0014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5A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BD3251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73" w:rsidRDefault="00143F73">
      <w:r>
        <w:separator/>
      </w:r>
    </w:p>
  </w:footnote>
  <w:footnote w:type="continuationSeparator" w:id="0">
    <w:p w:rsidR="00143F73" w:rsidRDefault="0014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A87FFD">
      <w:rPr>
        <w:shadow/>
        <w:sz w:val="24"/>
        <w:szCs w:val="24"/>
      </w:rPr>
      <w:t>6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A87FFD">
      <w:rPr>
        <w:sz w:val="20"/>
        <w:szCs w:val="20"/>
      </w:rPr>
      <w:t>19 a 25 de abril</w:t>
    </w:r>
    <w:r w:rsidR="00FE00AD" w:rsidRPr="00971E07">
      <w:rPr>
        <w:sz w:val="20"/>
        <w:szCs w:val="20"/>
      </w:rPr>
      <w:t xml:space="preserve"> de 20</w:t>
    </w:r>
    <w:r w:rsidR="00E16E01" w:rsidRPr="00971E07">
      <w:rPr>
        <w:sz w:val="20"/>
        <w:szCs w:val="20"/>
      </w:rPr>
      <w:t>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5pt;height:7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937DBA">
      <w:rPr>
        <w:b/>
        <w:sz w:val="40"/>
        <w:szCs w:val="40"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937DBA">
      <w:rPr>
        <w:i/>
        <w:iCs/>
      </w:rPr>
      <w:t>19 a 25 de abril</w:t>
    </w:r>
    <w:r w:rsidR="00FE00AD" w:rsidRPr="005D1DE4">
      <w:rPr>
        <w:i/>
        <w:iCs/>
      </w:rPr>
      <w:t xml:space="preserve"> de 2012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43F73"/>
    <w:rsid w:val="0015612D"/>
    <w:rsid w:val="00176D15"/>
    <w:rsid w:val="00184590"/>
    <w:rsid w:val="00187A37"/>
    <w:rsid w:val="0019151D"/>
    <w:rsid w:val="00193208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DB9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145AC"/>
    <w:rsid w:val="00615F98"/>
    <w:rsid w:val="00621F9C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2AB"/>
    <w:rsid w:val="00845559"/>
    <w:rsid w:val="00854DB8"/>
    <w:rsid w:val="00854EF2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37DB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AEE"/>
    <w:rsid w:val="00A32FBF"/>
    <w:rsid w:val="00A407EA"/>
    <w:rsid w:val="00A44A47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87FFD"/>
    <w:rsid w:val="00A91181"/>
    <w:rsid w:val="00A935AC"/>
    <w:rsid w:val="00AA12EF"/>
    <w:rsid w:val="00AB299E"/>
    <w:rsid w:val="00AB507C"/>
    <w:rsid w:val="00AD6E76"/>
    <w:rsid w:val="00AE3EAA"/>
    <w:rsid w:val="00AE5EDF"/>
    <w:rsid w:val="00B14F7F"/>
    <w:rsid w:val="00B15A8B"/>
    <w:rsid w:val="00B16EB9"/>
    <w:rsid w:val="00B175A3"/>
    <w:rsid w:val="00B22F24"/>
    <w:rsid w:val="00B22F53"/>
    <w:rsid w:val="00B24DBE"/>
    <w:rsid w:val="00B34EB2"/>
    <w:rsid w:val="00B517C3"/>
    <w:rsid w:val="00B518B2"/>
    <w:rsid w:val="00B526EA"/>
    <w:rsid w:val="00B536FE"/>
    <w:rsid w:val="00B73FFA"/>
    <w:rsid w:val="00B874F1"/>
    <w:rsid w:val="00BC1DE7"/>
    <w:rsid w:val="00BC5AEE"/>
    <w:rsid w:val="00BD3251"/>
    <w:rsid w:val="00BD6029"/>
    <w:rsid w:val="00BE0541"/>
    <w:rsid w:val="00BE1ADB"/>
    <w:rsid w:val="00C070DE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2342"/>
    <w:rsid w:val="00F511EE"/>
    <w:rsid w:val="00F558E7"/>
    <w:rsid w:val="00F62016"/>
    <w:rsid w:val="00F63F44"/>
    <w:rsid w:val="00F6746D"/>
    <w:rsid w:val="00F7062B"/>
    <w:rsid w:val="00F811CD"/>
    <w:rsid w:val="00F82D8F"/>
    <w:rsid w:val="00F83F62"/>
    <w:rsid w:val="00F9711D"/>
    <w:rsid w:val="00FA7116"/>
    <w:rsid w:val="00FA75E0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basedOn w:val="Fontepargpadro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basedOn w:val="Fontepargpadro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basedOn w:val="Fontepargpadro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basedOn w:val="Fontepargpadro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B15A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02.tst.jus.br/pls/ap01/ap_red100.resumo?num_int=132899&amp;ano_int=2011&amp;qtd_acesso=2467733&amp;novoportal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t02.tst.jus.br/pls/ap01/ap_red100.resumo?num_int=482874&amp;ano_int=2008&amp;qtd_acesso=6651681&amp;novoportal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xt02.tst.jus.br/pls/ap01/ap_red100.resumo?num_int=691731&amp;ano_int=2009&amp;qtd_acesso=9333701&amp;novoporta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t02.tst.jus.br/pls/ap01/ap_red100.resumo?num_int=927&amp;ano_int=2010&amp;qtd_acesso=1044061&amp;novoportal=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1F5F-7B35-4B0A-ABF9-52837420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4877</CharactersWithSpaces>
  <SharedDoc>false</SharedDoc>
  <HLinks>
    <vt:vector size="24" baseType="variant"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http://ext02.tst.jus.br/pls/ap01/ap_red100.resumo?num_int=482874&amp;ano_int=2008&amp;qtd_acesso=6651681&amp;novoportal=1</vt:lpwstr>
      </vt:variant>
      <vt:variant>
        <vt:lpwstr/>
      </vt:variant>
      <vt:variant>
        <vt:i4>3670072</vt:i4>
      </vt:variant>
      <vt:variant>
        <vt:i4>6</vt:i4>
      </vt:variant>
      <vt:variant>
        <vt:i4>0</vt:i4>
      </vt:variant>
      <vt:variant>
        <vt:i4>5</vt:i4>
      </vt:variant>
      <vt:variant>
        <vt:lpwstr>http://ext02.tst.jus.br/pls/ap01/ap_red100.resumo?num_int=691731&amp;ano_int=2009&amp;qtd_acesso=9333701&amp;novoportal=1</vt:lpwstr>
      </vt:variant>
      <vt:variant>
        <vt:lpwstr/>
      </vt:variant>
      <vt:variant>
        <vt:i4>5570641</vt:i4>
      </vt:variant>
      <vt:variant>
        <vt:i4>3</vt:i4>
      </vt:variant>
      <vt:variant>
        <vt:i4>0</vt:i4>
      </vt:variant>
      <vt:variant>
        <vt:i4>5</vt:i4>
      </vt:variant>
      <vt:variant>
        <vt:lpwstr>http://ext02.tst.jus.br/pls/ap01/ap_red100.resumo?num_int=927&amp;ano_int=2010&amp;qtd_acesso=1044061&amp;novoportal=1</vt:lpwstr>
      </vt:variant>
      <vt:variant>
        <vt:lpwstr/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http://ext02.tst.jus.br/pls/ap01/ap_red100.resumo?num_int=132899&amp;ano_int=2011&amp;qtd_acesso=2467733&amp;novoportal=1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dc:description/>
  <cp:lastModifiedBy>c041658</cp:lastModifiedBy>
  <cp:revision>2</cp:revision>
  <cp:lastPrinted>2012-03-09T15:01:00Z</cp:lastPrinted>
  <dcterms:created xsi:type="dcterms:W3CDTF">2018-06-27T22:31:00Z</dcterms:created>
  <dcterms:modified xsi:type="dcterms:W3CDTF">2018-06-27T22:31:00Z</dcterms:modified>
</cp:coreProperties>
</file>