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0228E6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5B413A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TRIBUNAL PLENO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0228E6" w:rsidRPr="005D1DE4" w:rsidRDefault="000228E6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5B413A" w:rsidRDefault="005B413A" w:rsidP="005B413A">
      <w:pPr>
        <w:ind w:right="-1"/>
        <w:jc w:val="both"/>
        <w:rPr>
          <w:sz w:val="24"/>
          <w:szCs w:val="24"/>
          <w:u w:val="single"/>
        </w:rPr>
      </w:pPr>
      <w:r w:rsidRPr="00BA5C24">
        <w:rPr>
          <w:b/>
          <w:bCs/>
          <w:i/>
          <w:iCs/>
          <w:color w:val="000000"/>
          <w:sz w:val="23"/>
          <w:szCs w:val="23"/>
        </w:rPr>
        <w:t xml:space="preserve">Execução. Prazo para interposição de embargos à execução pela Fazenda Pública. Art. 4º da MP 2.180-35/2001. </w:t>
      </w:r>
      <w:r>
        <w:rPr>
          <w:b/>
          <w:bCs/>
          <w:i/>
          <w:iCs/>
          <w:color w:val="000000"/>
          <w:sz w:val="23"/>
          <w:szCs w:val="23"/>
        </w:rPr>
        <w:t xml:space="preserve">Declaração incidental de inconstitucionalidade. Efeitos suspensos. ADC 11 pendente de julgamento. </w:t>
      </w:r>
    </w:p>
    <w:p w:rsidR="005B413A" w:rsidRDefault="005B413A" w:rsidP="005B413A">
      <w:pPr>
        <w:pStyle w:val="Default"/>
        <w:jc w:val="both"/>
        <w:rPr>
          <w:sz w:val="20"/>
          <w:szCs w:val="20"/>
          <w:lang w:eastAsia="pt-BR"/>
        </w:rPr>
      </w:pPr>
      <w:r w:rsidRPr="00BA5C24">
        <w:t>O Tribunal Pleno, por unanimid</w:t>
      </w:r>
      <w:r>
        <w:t>ad</w:t>
      </w:r>
      <w:r w:rsidRPr="00BA5C24">
        <w:t>e, decidiu suspender os efeitos da declaração incidental de inconstitucionalidade formal do art. 4º da Medida Provisória n.º 2.180-35/01,</w:t>
      </w:r>
      <w:r>
        <w:t xml:space="preserve"> pronunciada nos autos do processo </w:t>
      </w:r>
      <w:hyperlink r:id="rId8" w:history="1">
        <w:r w:rsidRPr="00BA5C24">
          <w:rPr>
            <w:rStyle w:val="Hyperlink"/>
          </w:rPr>
          <w:t>TST-RR-7000-66.1992.5.04.0011</w:t>
        </w:r>
      </w:hyperlink>
      <w:r>
        <w:t>, julgado em 4.8.2005,</w:t>
      </w:r>
      <w:r w:rsidRPr="00BA5C24">
        <w:t xml:space="preserve"> até que o Supremo Tribunal Federal se manifeste em definitivo sobre a matéria</w:t>
      </w:r>
      <w:r>
        <w:t xml:space="preserve"> nos autos da ADC 11</w:t>
      </w:r>
      <w:r w:rsidRPr="00BA5C24">
        <w:t>.</w:t>
      </w:r>
      <w:r>
        <w:t xml:space="preserve"> </w:t>
      </w:r>
      <w:r w:rsidRPr="00292B35">
        <w:rPr>
          <w:color w:val="auto"/>
          <w:lang w:eastAsia="pt-BR"/>
        </w:rPr>
        <w:t xml:space="preserve"> </w:t>
      </w:r>
      <w:hyperlink r:id="rId9" w:history="1">
        <w:r w:rsidRPr="00292B35">
          <w:rPr>
            <w:rStyle w:val="Hyperlink"/>
            <w:sz w:val="23"/>
            <w:szCs w:val="23"/>
            <w:lang w:eastAsia="pt-BR"/>
          </w:rPr>
          <w:t>TST-E-RR-110200-18.2003.5.21.0921</w:t>
        </w:r>
      </w:hyperlink>
      <w:r w:rsidRPr="00292B35">
        <w:rPr>
          <w:color w:val="auto"/>
          <w:sz w:val="23"/>
          <w:szCs w:val="23"/>
          <w:u w:val="single"/>
          <w:lang w:eastAsia="pt-BR"/>
        </w:rPr>
        <w:t>, Tribunal Pleno, rel. Min. Renato de Lacerda Paiva, 2.9.2013</w:t>
      </w:r>
      <w:r w:rsidRPr="00292B35">
        <w:rPr>
          <w:color w:val="auto"/>
          <w:sz w:val="23"/>
          <w:szCs w:val="23"/>
          <w:lang w:eastAsia="pt-BR"/>
        </w:rPr>
        <w:t xml:space="preserve"> </w:t>
      </w:r>
      <w:r w:rsidRPr="00292B35">
        <w:rPr>
          <w:color w:val="auto"/>
          <w:sz w:val="20"/>
          <w:szCs w:val="20"/>
          <w:lang w:eastAsia="pt-BR"/>
        </w:rPr>
        <w:t>(*Cf. Informativo TST nº 56)</w:t>
      </w:r>
    </w:p>
    <w:p w:rsidR="00631F1C" w:rsidRPr="005B413A" w:rsidRDefault="00631F1C" w:rsidP="005B413A">
      <w:pPr>
        <w:pStyle w:val="Default"/>
        <w:jc w:val="both"/>
        <w:rPr>
          <w:b/>
          <w:bCs/>
          <w:shadow/>
          <w:color w:val="auto"/>
          <w:sz w:val="20"/>
          <w:szCs w:val="20"/>
        </w:rPr>
      </w:pPr>
      <w:r>
        <w:rPr>
          <w:b/>
          <w:bCs/>
          <w:shadow/>
          <w:color w:val="auto"/>
          <w:sz w:val="26"/>
          <w:szCs w:val="26"/>
        </w:rPr>
        <w:tab/>
      </w:r>
    </w:p>
    <w:p w:rsidR="00631F1C" w:rsidRPr="00971E07" w:rsidRDefault="005B413A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</w:p>
    <w:p w:rsidR="005B413A" w:rsidRPr="005B413A" w:rsidRDefault="005B413A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0"/>
          <w:szCs w:val="20"/>
          <w:lang w:val="pt-BR"/>
        </w:rPr>
      </w:pPr>
    </w:p>
    <w:p w:rsidR="005B413A" w:rsidRPr="00A21365" w:rsidRDefault="005B413A" w:rsidP="005B413A">
      <w:pPr>
        <w:jc w:val="both"/>
        <w:rPr>
          <w:b/>
          <w:i/>
          <w:sz w:val="24"/>
          <w:szCs w:val="24"/>
        </w:rPr>
      </w:pPr>
      <w:r w:rsidRPr="00A21365">
        <w:rPr>
          <w:b/>
          <w:i/>
          <w:sz w:val="24"/>
          <w:szCs w:val="24"/>
        </w:rPr>
        <w:t>Servidor público. Infração disciplinar continuada. Prescrição. Marco inicial. Data da última infração.</w:t>
      </w:r>
    </w:p>
    <w:p w:rsidR="005B413A" w:rsidRPr="00E644E0" w:rsidRDefault="005B413A" w:rsidP="005B413A">
      <w:pPr>
        <w:jc w:val="both"/>
        <w:rPr>
          <w:u w:val="single"/>
        </w:rPr>
      </w:pPr>
      <w:r w:rsidRPr="00A21365">
        <w:rPr>
          <w:sz w:val="24"/>
          <w:szCs w:val="24"/>
        </w:rPr>
        <w:t>Na hipótese de infração disciplinar continuada, consistente em recusa ilegal sucessivamente reiterada de servidor público ao exercício das atribuições de seu cargo, o marco inicial do prazo prescricional de 180 dias</w:t>
      </w:r>
      <w:r w:rsidR="00D62FF9">
        <w:rPr>
          <w:sz w:val="24"/>
          <w:szCs w:val="24"/>
        </w:rPr>
        <w:t>,</w:t>
      </w:r>
      <w:r w:rsidRPr="00A21365">
        <w:rPr>
          <w:sz w:val="24"/>
          <w:szCs w:val="24"/>
        </w:rPr>
        <w:t xml:space="preserve"> a que alude o art. 142, III, da Lei nº 8.112/90</w:t>
      </w:r>
      <w:r w:rsidR="00D62FF9">
        <w:rPr>
          <w:sz w:val="24"/>
          <w:szCs w:val="24"/>
        </w:rPr>
        <w:t>,</w:t>
      </w:r>
      <w:r w:rsidRPr="00A21365">
        <w:rPr>
          <w:sz w:val="24"/>
          <w:szCs w:val="24"/>
        </w:rPr>
        <w:t xml:space="preserve"> é a data da última infração e não o primeiro ato de descumprimento. Se assim não fosse, estar-se-ia assegurando ao servidor o direito de permanentemente se recusar a exercer suas atividades, admitindo-se, portanto, a reiteração de sua conduta ilícita. Com esses fundamentos, o Órgão Especial, por unanimidade, negou provimento ao recurso ordinário, mantendo a decisão </w:t>
      </w:r>
      <w:r>
        <w:rPr>
          <w:sz w:val="24"/>
          <w:szCs w:val="24"/>
        </w:rPr>
        <w:t xml:space="preserve">preferida pelo TRT </w:t>
      </w:r>
      <w:r w:rsidRPr="00A21365">
        <w:rPr>
          <w:sz w:val="24"/>
          <w:szCs w:val="24"/>
        </w:rPr>
        <w:t>que afastou a arguição de prescrição da pretensão punitiva e denegou a segurança ante a inexistência de direito líquido e certo.</w:t>
      </w:r>
      <w:r>
        <w:t xml:space="preserve"> </w:t>
      </w:r>
      <w:hyperlink r:id="rId10" w:history="1">
        <w:r w:rsidRPr="00292B35">
          <w:rPr>
            <w:rStyle w:val="Hyperlink"/>
            <w:sz w:val="24"/>
            <w:szCs w:val="24"/>
          </w:rPr>
          <w:t>TST-RO-247-61.2011.5.22.0000</w:t>
        </w:r>
      </w:hyperlink>
      <w:r w:rsidRPr="00A21365">
        <w:rPr>
          <w:sz w:val="24"/>
          <w:szCs w:val="24"/>
          <w:u w:val="single"/>
        </w:rPr>
        <w:t>, Órgão Especial, rel. Min. Delaíde Miranda Arantes, 2.9.2013</w:t>
      </w:r>
    </w:p>
    <w:p w:rsidR="00C71A3B" w:rsidRPr="005B413A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20"/>
          <w:szCs w:val="20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5B413A" w:rsidRDefault="00FE00AD" w:rsidP="00F82D8F">
      <w:pPr>
        <w:pStyle w:val="Corpodetexto2"/>
        <w:jc w:val="center"/>
        <w:rPr>
          <w:b/>
          <w:bCs/>
          <w:emboss/>
          <w:sz w:val="20"/>
          <w:szCs w:val="20"/>
        </w:rPr>
      </w:pPr>
    </w:p>
    <w:p w:rsidR="005B413A" w:rsidRDefault="005B413A" w:rsidP="005B413A">
      <w:pPr>
        <w:jc w:val="both"/>
        <w:rPr>
          <w:b/>
          <w:i/>
          <w:sz w:val="24"/>
          <w:szCs w:val="24"/>
        </w:rPr>
      </w:pPr>
      <w:r w:rsidRPr="008C475A">
        <w:rPr>
          <w:b/>
          <w:i/>
          <w:sz w:val="24"/>
          <w:szCs w:val="24"/>
        </w:rPr>
        <w:t>Banespa. Instituição bancária com quadro de pessoal organizado em nível nacional.</w:t>
      </w:r>
      <w:r>
        <w:rPr>
          <w:b/>
          <w:i/>
          <w:sz w:val="24"/>
          <w:szCs w:val="24"/>
        </w:rPr>
        <w:t xml:space="preserve"> </w:t>
      </w:r>
      <w:r w:rsidRPr="008C475A">
        <w:rPr>
          <w:b/>
          <w:i/>
          <w:sz w:val="24"/>
          <w:szCs w:val="24"/>
        </w:rPr>
        <w:t>Prevalência de acordo coletivo de trabalho de âmbito nacional sobre convenção coletiva de trabalho de âmbito regional. Princípio do conglobamento.</w:t>
      </w:r>
      <w:r>
        <w:rPr>
          <w:b/>
          <w:i/>
          <w:sz w:val="24"/>
          <w:szCs w:val="24"/>
        </w:rPr>
        <w:t xml:space="preserve"> </w:t>
      </w:r>
      <w:r w:rsidRPr="008C475A">
        <w:rPr>
          <w:b/>
          <w:i/>
          <w:sz w:val="24"/>
          <w:szCs w:val="24"/>
        </w:rPr>
        <w:t xml:space="preserve">Representatividade da </w:t>
      </w:r>
      <w:r>
        <w:rPr>
          <w:b/>
          <w:i/>
          <w:sz w:val="24"/>
          <w:szCs w:val="24"/>
        </w:rPr>
        <w:t>Contec</w:t>
      </w:r>
      <w:r w:rsidRPr="008C475A">
        <w:rPr>
          <w:b/>
          <w:i/>
          <w:sz w:val="24"/>
          <w:szCs w:val="24"/>
        </w:rPr>
        <w:t xml:space="preserve">. </w:t>
      </w:r>
    </w:p>
    <w:p w:rsidR="005B413A" w:rsidRDefault="005B413A" w:rsidP="005B413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 hipótese de conflito entre c</w:t>
      </w:r>
      <w:r w:rsidRPr="008C475A">
        <w:rPr>
          <w:sz w:val="24"/>
          <w:szCs w:val="24"/>
        </w:rPr>
        <w:t xml:space="preserve">onvenção </w:t>
      </w:r>
      <w:r>
        <w:rPr>
          <w:sz w:val="24"/>
          <w:szCs w:val="24"/>
        </w:rPr>
        <w:t>c</w:t>
      </w:r>
      <w:r w:rsidRPr="008C475A">
        <w:rPr>
          <w:sz w:val="24"/>
          <w:szCs w:val="24"/>
        </w:rPr>
        <w:t xml:space="preserve">oletiva de </w:t>
      </w:r>
      <w:r>
        <w:rPr>
          <w:sz w:val="24"/>
          <w:szCs w:val="24"/>
        </w:rPr>
        <w:t>t</w:t>
      </w:r>
      <w:r w:rsidRPr="008C475A">
        <w:rPr>
          <w:sz w:val="24"/>
          <w:szCs w:val="24"/>
        </w:rPr>
        <w:t xml:space="preserve">rabalho de âmbito regional, firmada pelo Sindicato dos Bancários de Belo Horizonte e a </w:t>
      </w:r>
      <w:r>
        <w:rPr>
          <w:sz w:val="24"/>
          <w:szCs w:val="24"/>
        </w:rPr>
        <w:t xml:space="preserve">Federação Nacional dos Bancos - </w:t>
      </w:r>
      <w:r w:rsidRPr="008C475A">
        <w:rPr>
          <w:sz w:val="24"/>
          <w:szCs w:val="24"/>
        </w:rPr>
        <w:t>F</w:t>
      </w:r>
      <w:r>
        <w:rPr>
          <w:sz w:val="24"/>
          <w:szCs w:val="24"/>
        </w:rPr>
        <w:t xml:space="preserve">enaban, </w:t>
      </w:r>
      <w:r w:rsidRPr="008C475A">
        <w:rPr>
          <w:sz w:val="24"/>
          <w:szCs w:val="24"/>
        </w:rPr>
        <w:t xml:space="preserve">e </w:t>
      </w:r>
      <w:r>
        <w:rPr>
          <w:sz w:val="24"/>
          <w:szCs w:val="24"/>
        </w:rPr>
        <w:t>a</w:t>
      </w:r>
      <w:r w:rsidRPr="008C475A">
        <w:rPr>
          <w:sz w:val="24"/>
          <w:szCs w:val="24"/>
        </w:rPr>
        <w:t xml:space="preserve">cordo </w:t>
      </w:r>
      <w:r>
        <w:rPr>
          <w:sz w:val="24"/>
          <w:szCs w:val="24"/>
        </w:rPr>
        <w:t>c</w:t>
      </w:r>
      <w:r w:rsidRPr="008C475A">
        <w:rPr>
          <w:sz w:val="24"/>
          <w:szCs w:val="24"/>
        </w:rPr>
        <w:t xml:space="preserve">oletivo de </w:t>
      </w:r>
      <w:r>
        <w:rPr>
          <w:sz w:val="24"/>
          <w:szCs w:val="24"/>
        </w:rPr>
        <w:t>t</w:t>
      </w:r>
      <w:r w:rsidRPr="008C475A">
        <w:rPr>
          <w:sz w:val="24"/>
          <w:szCs w:val="24"/>
        </w:rPr>
        <w:t>rabalho de âmbito nacional, celebrado entre o B</w:t>
      </w:r>
      <w:r>
        <w:rPr>
          <w:sz w:val="24"/>
          <w:szCs w:val="24"/>
        </w:rPr>
        <w:t xml:space="preserve">anespa </w:t>
      </w:r>
      <w:r w:rsidRPr="008C475A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Confederação Nacional dos Trabalhadores nas Empresas de Crédito - </w:t>
      </w:r>
      <w:r w:rsidRPr="008C475A">
        <w:rPr>
          <w:sz w:val="24"/>
          <w:szCs w:val="24"/>
        </w:rPr>
        <w:t>C</w:t>
      </w:r>
      <w:r>
        <w:rPr>
          <w:sz w:val="24"/>
          <w:szCs w:val="24"/>
        </w:rPr>
        <w:t>ontec</w:t>
      </w:r>
      <w:r w:rsidRPr="008C475A">
        <w:rPr>
          <w:sz w:val="24"/>
          <w:szCs w:val="24"/>
        </w:rPr>
        <w:t xml:space="preserve">, deve prevalecer o acordo de </w:t>
      </w:r>
      <w:r>
        <w:rPr>
          <w:sz w:val="24"/>
          <w:szCs w:val="24"/>
        </w:rPr>
        <w:t xml:space="preserve">abrangência </w:t>
      </w:r>
      <w:r w:rsidRPr="008C475A">
        <w:rPr>
          <w:sz w:val="24"/>
          <w:szCs w:val="24"/>
        </w:rPr>
        <w:t>nacional</w:t>
      </w:r>
      <w:r>
        <w:rPr>
          <w:sz w:val="24"/>
          <w:szCs w:val="24"/>
        </w:rPr>
        <w:t>, p</w:t>
      </w:r>
      <w:r w:rsidRPr="008C475A">
        <w:rPr>
          <w:sz w:val="24"/>
          <w:szCs w:val="24"/>
        </w:rPr>
        <w:t>or ser o empregador instituição</w:t>
      </w:r>
      <w:r>
        <w:rPr>
          <w:sz w:val="24"/>
          <w:szCs w:val="24"/>
        </w:rPr>
        <w:t xml:space="preserve"> bancária</w:t>
      </w:r>
      <w:r w:rsidRPr="008C475A">
        <w:rPr>
          <w:sz w:val="24"/>
          <w:szCs w:val="24"/>
        </w:rPr>
        <w:t xml:space="preserve"> com quadro de pessoal organizado em nível nacional</w:t>
      </w:r>
      <w:r>
        <w:rPr>
          <w:sz w:val="24"/>
          <w:szCs w:val="24"/>
        </w:rPr>
        <w:t xml:space="preserve">, e por ser </w:t>
      </w:r>
      <w:r w:rsidRPr="008C475A">
        <w:rPr>
          <w:sz w:val="24"/>
          <w:szCs w:val="24"/>
        </w:rPr>
        <w:t>mais benéfico à categoria profissional como um todo</w:t>
      </w:r>
      <w:r>
        <w:rPr>
          <w:sz w:val="24"/>
          <w:szCs w:val="24"/>
        </w:rPr>
        <w:t>, em face do princípio do conglobamento</w:t>
      </w:r>
      <w:r w:rsidRPr="008C475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Ademais, não obstante a Orientação Jurisprudencial Transitória nº 68 da SBDI-I se refira a período diverso daquele abrangido pelos instrumentos coletivos questionados, extrai-se do verbete a autoridade da Contec para representar os interesses dos empregados do Banespa em negociações coletivas. </w:t>
      </w:r>
      <w:r w:rsidRPr="00292B35">
        <w:rPr>
          <w:i/>
          <w:sz w:val="24"/>
          <w:szCs w:val="24"/>
        </w:rPr>
        <w:t>In casu</w:t>
      </w:r>
      <w:r w:rsidRPr="008C475A">
        <w:rPr>
          <w:sz w:val="24"/>
          <w:szCs w:val="24"/>
        </w:rPr>
        <w:t>, pleite</w:t>
      </w:r>
      <w:r>
        <w:rPr>
          <w:sz w:val="24"/>
          <w:szCs w:val="24"/>
        </w:rPr>
        <w:t>ou</w:t>
      </w:r>
      <w:r w:rsidRPr="008C475A">
        <w:rPr>
          <w:sz w:val="24"/>
          <w:szCs w:val="24"/>
        </w:rPr>
        <w:t xml:space="preserve">-se o pagamento de diferenças de complementação de aposentadoria decorrentes da inobservância de cláusula de reajuste salarial de 8,5% prevista </w:t>
      </w:r>
      <w:r>
        <w:rPr>
          <w:sz w:val="24"/>
          <w:szCs w:val="24"/>
        </w:rPr>
        <w:t>na</w:t>
      </w:r>
      <w:r w:rsidRPr="008C475A">
        <w:rPr>
          <w:sz w:val="24"/>
          <w:szCs w:val="24"/>
        </w:rPr>
        <w:t xml:space="preserve"> CCT 2004/2005 firmado pelo Sindicato local e a F</w:t>
      </w:r>
      <w:r>
        <w:rPr>
          <w:sz w:val="24"/>
          <w:szCs w:val="24"/>
        </w:rPr>
        <w:t xml:space="preserve">enaban no </w:t>
      </w:r>
      <w:r w:rsidRPr="008C475A">
        <w:rPr>
          <w:sz w:val="24"/>
          <w:szCs w:val="24"/>
        </w:rPr>
        <w:t xml:space="preserve">período em que os empregados do Banco </w:t>
      </w:r>
      <w:r w:rsidRPr="008C475A">
        <w:rPr>
          <w:sz w:val="24"/>
          <w:szCs w:val="24"/>
        </w:rPr>
        <w:lastRenderedPageBreak/>
        <w:t>Banespa encontravam-se jungidos pelo ACT</w:t>
      </w:r>
      <w:r>
        <w:rPr>
          <w:sz w:val="24"/>
          <w:szCs w:val="24"/>
        </w:rPr>
        <w:t xml:space="preserve"> </w:t>
      </w:r>
      <w:r w:rsidRPr="008C475A">
        <w:rPr>
          <w:sz w:val="24"/>
          <w:szCs w:val="24"/>
        </w:rPr>
        <w:t>2004</w:t>
      </w:r>
      <w:r>
        <w:rPr>
          <w:sz w:val="24"/>
          <w:szCs w:val="24"/>
        </w:rPr>
        <w:t>/</w:t>
      </w:r>
      <w:r w:rsidRPr="008C475A">
        <w:rPr>
          <w:sz w:val="24"/>
          <w:szCs w:val="24"/>
        </w:rPr>
        <w:t>2006 celebrado com a C</w:t>
      </w:r>
      <w:r>
        <w:rPr>
          <w:sz w:val="24"/>
          <w:szCs w:val="24"/>
        </w:rPr>
        <w:t xml:space="preserve">ontec. </w:t>
      </w:r>
      <w:r w:rsidRPr="008C475A">
        <w:rPr>
          <w:sz w:val="24"/>
          <w:szCs w:val="24"/>
        </w:rPr>
        <w:t>Com esse entendimento, a SBDI-</w:t>
      </w:r>
      <w:r>
        <w:rPr>
          <w:sz w:val="24"/>
          <w:szCs w:val="24"/>
        </w:rPr>
        <w:t>I</w:t>
      </w:r>
      <w:r w:rsidRPr="008C475A">
        <w:rPr>
          <w:sz w:val="24"/>
          <w:szCs w:val="24"/>
        </w:rPr>
        <w:t xml:space="preserve"> decidiu, por maioria, vencidos os Ministros Renato de Lacerda Paiva, Lelio Bentes Corrêa, Luiz Philippe Vieira de Mello Filho e José Roberto Freire Pimenta, conhecer dos embargos</w:t>
      </w:r>
      <w:r>
        <w:rPr>
          <w:sz w:val="24"/>
          <w:szCs w:val="24"/>
        </w:rPr>
        <w:t xml:space="preserve"> do banco reclamado</w:t>
      </w:r>
      <w:r w:rsidRPr="008C475A">
        <w:rPr>
          <w:sz w:val="24"/>
          <w:szCs w:val="24"/>
        </w:rPr>
        <w:t xml:space="preserve">, por divergência jurisprudencial, e, no mérito, ainda por maioria, vencidos os Ministros Augusto César </w:t>
      </w:r>
      <w:r>
        <w:rPr>
          <w:sz w:val="24"/>
          <w:szCs w:val="24"/>
        </w:rPr>
        <w:t xml:space="preserve">Leite </w:t>
      </w:r>
      <w:r w:rsidRPr="008C475A">
        <w:rPr>
          <w:sz w:val="24"/>
          <w:szCs w:val="24"/>
        </w:rPr>
        <w:t xml:space="preserve">de Carvalho, Renato de Lacerda Paiva, Lelio Bentes Corrêa, Luiz Philippe Vieira de Mello Filho e José Roberto Freire Pimenta, dar-lhes provimento para julgar improcedente a demanda. </w:t>
      </w:r>
      <w:hyperlink r:id="rId11" w:history="1">
        <w:r w:rsidRPr="00292B35">
          <w:rPr>
            <w:rStyle w:val="Hyperlink"/>
            <w:sz w:val="24"/>
            <w:szCs w:val="24"/>
          </w:rPr>
          <w:t>TST-E-RR-125300-63.2005.5.03.0009</w:t>
        </w:r>
      </w:hyperlink>
      <w:r w:rsidRPr="008C475A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8C475A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rel. </w:t>
      </w:r>
      <w:r w:rsidRPr="008C475A">
        <w:rPr>
          <w:sz w:val="24"/>
          <w:szCs w:val="24"/>
          <w:u w:val="single"/>
        </w:rPr>
        <w:t>Min. Delaíde Miranda Arantes, 29.8.2013</w:t>
      </w:r>
    </w:p>
    <w:p w:rsidR="005B413A" w:rsidRPr="005B413A" w:rsidRDefault="005B413A" w:rsidP="005B413A">
      <w:pPr>
        <w:jc w:val="both"/>
        <w:rPr>
          <w:u w:val="single"/>
        </w:rPr>
      </w:pPr>
    </w:p>
    <w:p w:rsidR="005B413A" w:rsidRDefault="005B413A" w:rsidP="005B413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Bancário. Pagamento de “horas extras” e “RSR s/ horas extras” de forma regular, em valor fixo e sem vinculação com a efetiva prestação de trabalho suplementar. Salário dissimulado. Parte final da Súmula nº 199, I, do TST. Não incidência.</w:t>
      </w:r>
    </w:p>
    <w:p w:rsidR="005B413A" w:rsidRDefault="005B413A" w:rsidP="005B413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 pagamento de parcelas sob a rubrica de “horas extras” e “RSR sem horas extras” de forma habitual e em valores fixos independentemente da efetiva prestação de serviços extraordinários caracteriza o salário dissimulado, visando impedir que as referidas verbas integrem a remuneração do empregado e causando flagrante prejuízo patrimonial, o que é vedado pelo art. 9º da CLT. Com esse entendimento, a SBDI-I, por maioria, conheceu dos embargos do reclamante, por divergência jurisprudencial, e, no mérito, deu-lhes provimento para restabelecer o acórdão do Regional que condenou o banco reclamado ao pagamento das diferenças salariais decorrentes da integração ao salário dos valores relativos às horas extras, assim como os respectivos reflexos.  Na espécie, mesmo com a previsão de prorrogação do horário de trabalho em acordo firmado quase dois anos após a contratação, não se considerou como hipótese de incidência da parte final do inciso I da Súmula nº 199 do TST, tendo em vista que a prorrogação de jornada autorizada pelo art. 225 da CLT pressupõe a necessidade transitória de mão de obra e não o pagamento de horas extras em valor fixo e habitual, sem a efetiva contraprestação. Vencidos os Ministros Dora Maria da Costa, Ives Gandra da Silva Martins Filho, Renato de Lacerda Paiva e Aloysio Corrêa da Veiga. </w:t>
      </w:r>
      <w:hyperlink r:id="rId12" w:history="1">
        <w:r w:rsidRPr="00292B35">
          <w:rPr>
            <w:rStyle w:val="Hyperlink"/>
            <w:sz w:val="24"/>
            <w:szCs w:val="24"/>
          </w:rPr>
          <w:t>TST-E-RR-44600-19.2009.5.04.0305</w:t>
        </w:r>
      </w:hyperlink>
      <w:r w:rsidRPr="00292B35">
        <w:rPr>
          <w:sz w:val="24"/>
          <w:szCs w:val="24"/>
          <w:u w:val="single"/>
        </w:rPr>
        <w:t>, SBDI-I, rel. Min. Alberto Luiz Bresciani de Fontan Pereira 29.8.2013</w:t>
      </w:r>
    </w:p>
    <w:p w:rsidR="005B413A" w:rsidRPr="005B413A" w:rsidRDefault="005B413A" w:rsidP="005B413A">
      <w:pPr>
        <w:jc w:val="both"/>
        <w:rPr>
          <w:b/>
          <w:i/>
        </w:rPr>
      </w:pPr>
    </w:p>
    <w:p w:rsidR="005B413A" w:rsidRDefault="005B413A" w:rsidP="005B413A">
      <w:pPr>
        <w:pStyle w:val="Ementa"/>
        <w:ind w:left="0"/>
        <w:outlineLvl w:val="0"/>
        <w:rPr>
          <w:rFonts w:ascii="Times New Roman" w:hAnsi="Times New Roman"/>
          <w:b/>
          <w:i/>
          <w:color w:val="auto"/>
          <w:lang w:val="pt-BR"/>
        </w:rPr>
      </w:pPr>
      <w:r>
        <w:rPr>
          <w:rFonts w:ascii="Times New Roman" w:hAnsi="Times New Roman"/>
          <w:b/>
          <w:i/>
          <w:color w:val="auto"/>
          <w:lang w:val="pt-BR"/>
        </w:rPr>
        <w:t>A</w:t>
      </w:r>
      <w:r w:rsidRPr="00FE15C2">
        <w:rPr>
          <w:rFonts w:ascii="Times New Roman" w:hAnsi="Times New Roman"/>
          <w:b/>
          <w:i/>
          <w:color w:val="auto"/>
          <w:lang w:val="pt-BR"/>
        </w:rPr>
        <w:t xml:space="preserve">cidente de trabalho. </w:t>
      </w:r>
      <w:r>
        <w:rPr>
          <w:rFonts w:ascii="Times New Roman" w:hAnsi="Times New Roman"/>
          <w:b/>
          <w:i/>
          <w:color w:val="auto"/>
          <w:lang w:val="pt-BR"/>
        </w:rPr>
        <w:t>Ação de i</w:t>
      </w:r>
      <w:r w:rsidRPr="00FE15C2">
        <w:rPr>
          <w:rFonts w:ascii="Times New Roman" w:hAnsi="Times New Roman"/>
          <w:b/>
          <w:i/>
          <w:color w:val="auto"/>
          <w:lang w:val="pt-BR"/>
        </w:rPr>
        <w:t>ndenização</w:t>
      </w:r>
      <w:r>
        <w:rPr>
          <w:rFonts w:ascii="Times New Roman" w:hAnsi="Times New Roman"/>
          <w:b/>
          <w:i/>
          <w:color w:val="auto"/>
          <w:lang w:val="pt-BR"/>
        </w:rPr>
        <w:t xml:space="preserve"> por danos morais. </w:t>
      </w:r>
      <w:r w:rsidRPr="00FE15C2">
        <w:rPr>
          <w:rFonts w:ascii="Times New Roman" w:hAnsi="Times New Roman"/>
          <w:b/>
          <w:bCs/>
          <w:i/>
          <w:color w:val="auto"/>
          <w:lang w:val="pt-BR"/>
        </w:rPr>
        <w:t>Prescrição</w:t>
      </w:r>
      <w:r>
        <w:rPr>
          <w:rFonts w:ascii="Times New Roman" w:hAnsi="Times New Roman"/>
          <w:b/>
          <w:bCs/>
          <w:i/>
          <w:color w:val="auto"/>
          <w:lang w:val="pt-BR"/>
        </w:rPr>
        <w:t>. T</w:t>
      </w:r>
      <w:r w:rsidRPr="00FE15C2">
        <w:rPr>
          <w:rFonts w:ascii="Times New Roman" w:hAnsi="Times New Roman"/>
          <w:b/>
          <w:i/>
          <w:color w:val="auto"/>
          <w:lang w:val="pt-BR"/>
        </w:rPr>
        <w:t>ermo inicial. Aposentadoria por invalidez.</w:t>
      </w:r>
    </w:p>
    <w:p w:rsidR="005B413A" w:rsidRPr="00FE15C2" w:rsidRDefault="005B413A" w:rsidP="005B413A">
      <w:pPr>
        <w:pStyle w:val="Ementa"/>
        <w:ind w:left="0"/>
        <w:outlineLvl w:val="0"/>
        <w:rPr>
          <w:rFonts w:ascii="Times New Roman" w:eastAsia="Calibri" w:hAnsi="Times New Roman"/>
          <w:color w:val="auto"/>
          <w:lang w:val="pt-BR"/>
        </w:rPr>
      </w:pPr>
      <w:r>
        <w:rPr>
          <w:rFonts w:ascii="Times New Roman" w:hAnsi="Times New Roman"/>
          <w:color w:val="auto"/>
          <w:lang w:val="pt-BR"/>
        </w:rPr>
        <w:t xml:space="preserve">A SBDI-I, por unanimidade, conheceu dos embargos da reclamada, por divergência jurisprudencial, e, no mérito, por maioria, negou-lhes provimento, mantendo a decisão da Turma que afastou a prescrição pronunciada sob o fundamento de que o marco inicial para a contagem do prazo prescricional incidente sobre a ação de indenização por dano moral decorrente de acidente de trabalho é a data da aposentadoria por invalidez permanente, momento em que ocorreu a ciência inequívoca da incapacidade laboral. Vencido o Ministro Ives Gandra Martins Filho. </w:t>
      </w:r>
      <w:hyperlink r:id="rId13" w:history="1">
        <w:r w:rsidRPr="00292B35">
          <w:rPr>
            <w:rStyle w:val="Hyperlink"/>
            <w:rFonts w:ascii="Times New Roman" w:hAnsi="Times New Roman" w:cs="Courier New"/>
            <w:bCs/>
            <w:lang w:val="pt-BR"/>
          </w:rPr>
          <w:t>TST-E-ED-RR-779-52.2008.5.10.0007</w:t>
        </w:r>
      </w:hyperlink>
      <w:r w:rsidRPr="00E05545">
        <w:rPr>
          <w:rFonts w:ascii="Times New Roman" w:hAnsi="Times New Roman"/>
          <w:bCs/>
          <w:color w:val="auto"/>
          <w:u w:val="single"/>
          <w:lang w:val="pt-BR"/>
        </w:rPr>
        <w:t>,</w:t>
      </w:r>
      <w:r w:rsidRPr="00E05545">
        <w:rPr>
          <w:rFonts w:ascii="Times New Roman" w:eastAsia="Calibri" w:hAnsi="Times New Roman"/>
          <w:color w:val="auto"/>
          <w:u w:val="single"/>
          <w:lang w:val="pt-BR"/>
        </w:rPr>
        <w:t xml:space="preserve"> SBDI-I, rel. Min. </w:t>
      </w:r>
      <w:r w:rsidRPr="00E05545">
        <w:rPr>
          <w:rFonts w:ascii="Times New Roman" w:hAnsi="Times New Roman"/>
          <w:color w:val="auto"/>
          <w:u w:val="single"/>
          <w:lang w:val="pt-BR"/>
        </w:rPr>
        <w:t>Aloysio Corrêa da Veiga,</w:t>
      </w:r>
      <w:r w:rsidRPr="00E05545">
        <w:rPr>
          <w:rFonts w:ascii="Times New Roman" w:eastAsia="Calibri" w:hAnsi="Times New Roman"/>
          <w:color w:val="auto"/>
          <w:u w:val="single"/>
          <w:lang w:val="pt-BR"/>
        </w:rPr>
        <w:t xml:space="preserve"> 29.8.2013</w:t>
      </w:r>
    </w:p>
    <w:p w:rsidR="005B413A" w:rsidRPr="005B413A" w:rsidRDefault="005B413A" w:rsidP="005B413A">
      <w:pPr>
        <w:jc w:val="both"/>
        <w:rPr>
          <w:b/>
          <w:i/>
        </w:rPr>
      </w:pPr>
    </w:p>
    <w:p w:rsidR="005B413A" w:rsidRDefault="005B413A" w:rsidP="005B413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Turno ininterrupto de revezamento. Alteração para turno fixo. Retaliação por negociação coletiva frustrada. Abuso do </w:t>
      </w:r>
      <w:r w:rsidRPr="00B511FC">
        <w:rPr>
          <w:i/>
          <w:sz w:val="24"/>
          <w:szCs w:val="24"/>
        </w:rPr>
        <w:t>jus variandi</w:t>
      </w:r>
      <w:r>
        <w:rPr>
          <w:b/>
          <w:i/>
          <w:sz w:val="24"/>
          <w:szCs w:val="24"/>
        </w:rPr>
        <w:t xml:space="preserve"> do empregador. </w:t>
      </w:r>
    </w:p>
    <w:p w:rsidR="005B413A" w:rsidRDefault="005B413A" w:rsidP="005B413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alteração do turno ininterrupto de revezamento para turno fixo de oito horas, em tese, é benéfica aos empregados, pois a alternância entre turnos diurnos e noturnos é notoriamente gravosa à saúde e à vida social. Entretanto, a referida modificação é inválida e configura abuso do </w:t>
      </w:r>
      <w:r>
        <w:rPr>
          <w:i/>
          <w:sz w:val="24"/>
          <w:szCs w:val="24"/>
        </w:rPr>
        <w:t>jus variandi</w:t>
      </w:r>
      <w:r>
        <w:rPr>
          <w:sz w:val="24"/>
          <w:szCs w:val="24"/>
        </w:rPr>
        <w:t xml:space="preserve"> do empregador quando levada a efeito unilateralmente, sem a observância dos princípios da isonomia e da proporcionalidade, e com o fim de retaliar os empregados em razão da não aceitação da proposta de prorrogação do acordo coletivo autorizando o trabalho em turnos ininterruptos de oito horas.  Com esse entendimento, a SBDI-I, por maioria, vencidos os Ministros Maria de Assis Calsing, relatora, Augusto César Leite de Carvalho, Ives Gandra Martins Filho, Lelio Bentes Corrêa e Aloysio Corrêa da Veiga, conheceu dos embargos da reclamada, por divergência jurisprudencial, e, no mérito, ainda por maioria, negou-lhes provimento, mantendo a decisão do Regional que determinou o retorno dos empregados ao sistema de turnos ininterruptos de seis horas, ante a falta de negociação coletiva para a prorrogação da jornada. Vencidos os Ministros Brito Pereira, João </w:t>
      </w:r>
      <w:r>
        <w:rPr>
          <w:sz w:val="24"/>
          <w:szCs w:val="24"/>
        </w:rPr>
        <w:lastRenderedPageBreak/>
        <w:t xml:space="preserve">Oreste Dalazen, Ives Gandra da Silva Martins Filho e Renato de Lacerda Paiva. </w:t>
      </w:r>
      <w:hyperlink r:id="rId14" w:history="1">
        <w:r w:rsidRPr="00292B35">
          <w:rPr>
            <w:rStyle w:val="Hyperlink"/>
            <w:sz w:val="24"/>
            <w:szCs w:val="24"/>
          </w:rPr>
          <w:t>TST-E-ED-RR-34700-84.2004.5.03.0088</w:t>
        </w:r>
      </w:hyperlink>
      <w:r w:rsidRPr="003D032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SBDI-I, rel. Min. Maria de Assis Calsing, 29.8.2013</w:t>
      </w:r>
    </w:p>
    <w:p w:rsidR="005B413A" w:rsidRPr="007A3E29" w:rsidRDefault="005B413A" w:rsidP="005B413A">
      <w:pPr>
        <w:jc w:val="both"/>
        <w:rPr>
          <w:b/>
          <w:i/>
          <w:sz w:val="24"/>
          <w:szCs w:val="24"/>
        </w:rPr>
      </w:pPr>
    </w:p>
    <w:p w:rsidR="005B413A" w:rsidRPr="005D1DE4" w:rsidRDefault="005B413A" w:rsidP="005B413A">
      <w:pPr>
        <w:ind w:right="-71"/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3A" w:rsidRDefault="00220E3A">
      <w:r>
        <w:separator/>
      </w:r>
    </w:p>
  </w:endnote>
  <w:endnote w:type="continuationSeparator" w:id="0">
    <w:p w:rsidR="00220E3A" w:rsidRDefault="0022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765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A2765C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3A" w:rsidRDefault="00220E3A">
      <w:r>
        <w:separator/>
      </w:r>
    </w:p>
  </w:footnote>
  <w:footnote w:type="continuationSeparator" w:id="0">
    <w:p w:rsidR="00220E3A" w:rsidRDefault="0022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5B413A">
      <w:rPr>
        <w:shadow/>
        <w:sz w:val="24"/>
        <w:szCs w:val="24"/>
      </w:rPr>
      <w:t>57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5B413A">
      <w:rPr>
        <w:sz w:val="20"/>
        <w:szCs w:val="20"/>
      </w:rPr>
      <w:t>27 de agosto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5B413A">
      <w:rPr>
        <w:sz w:val="20"/>
        <w:szCs w:val="20"/>
      </w:rPr>
      <w:t>2</w:t>
    </w:r>
    <w:r w:rsidR="00FE00AD" w:rsidRPr="00971E07">
      <w:rPr>
        <w:sz w:val="20"/>
        <w:szCs w:val="20"/>
      </w:rPr>
      <w:t xml:space="preserve"> de </w:t>
    </w:r>
    <w:r w:rsidR="005B413A">
      <w:rPr>
        <w:sz w:val="20"/>
        <w:szCs w:val="20"/>
      </w:rPr>
      <w:t>setembro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5B413A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5B413A">
      <w:rPr>
        <w:b/>
        <w:sz w:val="40"/>
        <w:szCs w:val="40"/>
      </w:rPr>
      <w:t>57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5B413A">
      <w:rPr>
        <w:i/>
        <w:iCs/>
      </w:rPr>
      <w:t>27</w:t>
    </w:r>
    <w:r w:rsidR="00FE00AD" w:rsidRPr="005D1DE4">
      <w:rPr>
        <w:i/>
        <w:iCs/>
      </w:rPr>
      <w:t xml:space="preserve"> </w:t>
    </w:r>
    <w:r w:rsidR="005B413A">
      <w:rPr>
        <w:i/>
        <w:iCs/>
      </w:rPr>
      <w:t xml:space="preserve">de agosto </w:t>
    </w:r>
    <w:r w:rsidR="00FE00AD" w:rsidRPr="005D1DE4">
      <w:rPr>
        <w:i/>
        <w:iCs/>
      </w:rPr>
      <w:t xml:space="preserve">a </w:t>
    </w:r>
    <w:r w:rsidR="005B413A">
      <w:rPr>
        <w:i/>
        <w:iCs/>
      </w:rPr>
      <w:t xml:space="preserve">2 de setembro </w:t>
    </w:r>
    <w:r w:rsidR="00FE00AD" w:rsidRPr="005D1DE4">
      <w:rPr>
        <w:i/>
        <w:iCs/>
      </w:rPr>
      <w:t>de 201</w:t>
    </w:r>
    <w:r w:rsidR="005B413A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0E3A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92B35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413A"/>
    <w:rsid w:val="005B57DE"/>
    <w:rsid w:val="005C1886"/>
    <w:rsid w:val="005C761E"/>
    <w:rsid w:val="005D0E5F"/>
    <w:rsid w:val="005D1DE4"/>
    <w:rsid w:val="005E239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2765C"/>
    <w:rsid w:val="00A32FBF"/>
    <w:rsid w:val="00A407EA"/>
    <w:rsid w:val="00A51749"/>
    <w:rsid w:val="00A521B6"/>
    <w:rsid w:val="00A556EB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2FF9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paragraph" w:customStyle="1" w:styleId="Default">
    <w:name w:val="Default"/>
    <w:rsid w:val="005B413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5.tst.jus.br/consultaDocumento/acordao.do?anoProcInt=2003&amp;numProcInt=117992&amp;dtaPublicacaoStr=23/09/2005%2000:00:00&amp;nia=3924783" TargetMode="External"/><Relationship Id="rId13" Type="http://schemas.openxmlformats.org/officeDocument/2006/relationships/hyperlink" Target="https://aplicacao5.tst.jus.br/consultaProcessual/consultaTstNumUnica.do?consulta=Consultar&amp;conscsjt=&amp;numeroTst=779&amp;digitoTst=52&amp;anoTst=2008&amp;orgaoTst=5&amp;tribunalTst=10&amp;varaTst=000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44600&amp;digitoTst=19&amp;anoTst=2009&amp;orgaoTst=5&amp;tribunalTst=04&amp;varaTst=030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125300&amp;digitoTst=63&amp;anoTst=2005&amp;orgaoTst=5&amp;tribunalTst=03&amp;varaTst=00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licacao5.tst.jus.br/consultaProcessual/consultaTstNumUnica.do?consulta=Consultar&amp;conscsjt=&amp;numeroTst=247&amp;digitoTst=61&amp;anoTst=2011&amp;orgaoTst=5&amp;tribunalTst=22&amp;varaTst=0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10200&amp;digitoTst=18&amp;anoTst=2003&amp;orgaoTst=5&amp;tribunalTst=21&amp;varaTst=0921" TargetMode="External"/><Relationship Id="rId14" Type="http://schemas.openxmlformats.org/officeDocument/2006/relationships/hyperlink" Target="https://aplicacao5.tst.jus.br/consultaProcessual/consultaTstNumUnica.do?consulta=Consultar&amp;conscsjt=&amp;numeroTst=34700&amp;digitoTst=84&amp;anoTst=2004&amp;orgaoTst=5&amp;tribunalTst=03&amp;varaTst=008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ECC0-A908-4099-AD05-7151201D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1491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9529</CharactersWithSpaces>
  <SharedDoc>false</SharedDoc>
  <HLinks>
    <vt:vector size="42" baseType="variant">
      <vt:variant>
        <vt:i4>1245195</vt:i4>
      </vt:variant>
      <vt:variant>
        <vt:i4>18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https://aplicacao5.tst.jus.br/consultaProcessual/consultaTstNumUnica.do?consulta=Consultar&amp;conscsjt=&amp;numeroTst=34700&amp;digitoTst=84&amp;anoTst=2004&amp;orgaoTst=5&amp;tribunalTst=03&amp;varaTst=0088</vt:lpwstr>
      </vt:variant>
      <vt:variant>
        <vt:lpwstr/>
      </vt:variant>
      <vt:variant>
        <vt:i4>2752569</vt:i4>
      </vt:variant>
      <vt:variant>
        <vt:i4>15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https://aplicacao5.tst.jus.br/consultaProcessual/consultaTstNumUnica.do?consulta=Consultar&amp;conscsjt=&amp;numeroTst=779&amp;digitoTst=52&amp;anoTst=2008&amp;orgaoTst=5&amp;tribunalTst=10&amp;varaTst=0007</vt:lpwstr>
      </vt:variant>
      <vt:variant>
        <vt:lpwstr/>
      </vt:variant>
      <vt:variant>
        <vt:i4>1179652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https://aplicacao5.tst.jus.br/consultaProcessual/consultaTstNumUnica.do?consulta=Consultar&amp;conscsjt=&amp;numeroTst=44600&amp;digitoTst=19&amp;anoTst=2009&amp;orgaoTst=5&amp;tribunalTst=04&amp;varaTst=0305</vt:lpwstr>
      </vt:variant>
      <vt:variant>
        <vt:lpwstr/>
      </vt:variant>
      <vt:variant>
        <vt:i4>5898319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https://aplicacao5.tst.jus.br/consultaProcessual/consultaTstNumUnica.do?consulta=Consultar&amp;conscsjt=&amp;numeroTst=125300&amp;digitoTst=63&amp;anoTst=2005&amp;orgaoTst=5&amp;tribunalTst=03&amp;varaTst=0009</vt:lpwstr>
      </vt:variant>
      <vt:variant>
        <vt:lpwstr/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https://aplicacao5.tst.jus.br/consultaProcessual/consultaTstNumUnica.do?consulta=Consultar&amp;conscsjt=&amp;numeroTst=247&amp;digitoTst=61&amp;anoTst=2011&amp;orgaoTst=5&amp;tribunalTst=22&amp;varaTst=0000</vt:lpwstr>
      </vt:variant>
      <vt:variant>
        <vt:lpwstr/>
      </vt:variant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https://aplicacao5.tst.jus.br/consultaProcessual/consultaTstNumUnica.do?consulta=Consultar&amp;conscsjt=&amp;numeroTst=110200&amp;digitoTst=18&amp;anoTst=2003&amp;orgaoTst=5&amp;tribunalTst=21&amp;varaTst=0921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http://aplicacao5.tst.jus.br/consultaDocumento/acordao.do?anoProcInt=2003&amp;numProcInt=117992&amp;dtaPublicacaoStr=23/09/2005%2000:00:00&amp;nia=3924783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