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631F1C" w:rsidRPr="00971E07" w:rsidRDefault="00631F1C" w:rsidP="00EE7E0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2C2904" w:rsidRPr="005D1DE4" w:rsidRDefault="002C2904" w:rsidP="002C2904">
      <w:pPr>
        <w:ind w:right="-567"/>
        <w:jc w:val="both"/>
        <w:rPr>
          <w:sz w:val="10"/>
          <w:szCs w:val="10"/>
        </w:rPr>
      </w:pPr>
    </w:p>
    <w:p w:rsidR="001F0EBF" w:rsidRPr="007850D8" w:rsidRDefault="001F0EBF" w:rsidP="001F0EBF">
      <w:pPr>
        <w:jc w:val="both"/>
        <w:rPr>
          <w:b/>
          <w:i/>
          <w:sz w:val="24"/>
          <w:szCs w:val="24"/>
        </w:rPr>
      </w:pPr>
      <w:r w:rsidRPr="007850D8">
        <w:rPr>
          <w:b/>
          <w:i/>
          <w:sz w:val="24"/>
          <w:szCs w:val="24"/>
        </w:rPr>
        <w:t xml:space="preserve">Horas </w:t>
      </w:r>
      <w:r w:rsidRPr="00D63DF4">
        <w:rPr>
          <w:i/>
          <w:sz w:val="24"/>
          <w:szCs w:val="24"/>
        </w:rPr>
        <w:t>in itinere</w:t>
      </w:r>
      <w:r w:rsidRPr="007850D8">
        <w:rPr>
          <w:b/>
          <w:i/>
          <w:sz w:val="24"/>
          <w:szCs w:val="24"/>
        </w:rPr>
        <w:t xml:space="preserve">. Norma Coletiva. Fixação prévia do número de horas a pagar. Validade. </w:t>
      </w:r>
      <w:r>
        <w:rPr>
          <w:b/>
          <w:i/>
          <w:sz w:val="24"/>
          <w:szCs w:val="24"/>
        </w:rPr>
        <w:t>Afastamento da natureza salarial. Impossibilidade. Art. 58, § 2º, da CLT.</w:t>
      </w:r>
    </w:p>
    <w:p w:rsidR="001F0EBF" w:rsidRDefault="001F0EBF" w:rsidP="001F0EBF">
      <w:pPr>
        <w:jc w:val="both"/>
      </w:pPr>
      <w:r w:rsidRPr="003700A5">
        <w:rPr>
          <w:sz w:val="24"/>
          <w:szCs w:val="24"/>
        </w:rPr>
        <w:t>É válida</w:t>
      </w:r>
      <w:r>
        <w:rPr>
          <w:sz w:val="24"/>
          <w:szCs w:val="24"/>
        </w:rPr>
        <w:t xml:space="preserve"> a cláusula de norma coletiva que fixa previamente o número de horas </w:t>
      </w:r>
      <w:r w:rsidRPr="00C23F4C">
        <w:rPr>
          <w:i/>
          <w:sz w:val="24"/>
          <w:szCs w:val="24"/>
        </w:rPr>
        <w:t xml:space="preserve">in itinere </w:t>
      </w:r>
      <w:r w:rsidRPr="00C23F4C">
        <w:rPr>
          <w:sz w:val="24"/>
          <w:szCs w:val="24"/>
        </w:rPr>
        <w:t>a serem paga</w:t>
      </w:r>
      <w:r>
        <w:rPr>
          <w:sz w:val="24"/>
          <w:szCs w:val="24"/>
        </w:rPr>
        <w:t xml:space="preserve">s, desde que não haja flagrante disparidade entre o tempo acordado e o período efetivamente gasto no trajeto. No caso, limitou-se o pagamento a uma hora diária, mesmo havendo prova de que o tempo de percurso médio era de duas horas. De outra sorte, é inválida a cláusula que retira a natureza salarial das horas </w:t>
      </w:r>
      <w:r>
        <w:rPr>
          <w:i/>
          <w:sz w:val="24"/>
          <w:szCs w:val="24"/>
        </w:rPr>
        <w:t>in itinere</w:t>
      </w:r>
      <w:r>
        <w:rPr>
          <w:sz w:val="24"/>
          <w:szCs w:val="24"/>
        </w:rPr>
        <w:t xml:space="preserve">, afastando sua integração aos salários dos empregados, para todos os efeitos legais, em contrariedade ao disposto no art. 58, § 2º da CLT. Com esse entendimento, a SBDI-I, por unanimidade, conheceu dos embargos da reclamada, por divergência jurisprudencial, e, no mérito, deu-lhes provimento parcial para excluir da condenação o pagamento de duas horas </w:t>
      </w:r>
      <w:r>
        <w:rPr>
          <w:i/>
          <w:sz w:val="24"/>
          <w:szCs w:val="24"/>
        </w:rPr>
        <w:t>in itinere</w:t>
      </w:r>
      <w:r>
        <w:rPr>
          <w:sz w:val="24"/>
          <w:szCs w:val="24"/>
        </w:rPr>
        <w:t xml:space="preserve"> diárias e, quanto </w:t>
      </w:r>
      <w:r w:rsidRPr="005A2031">
        <w:rPr>
          <w:sz w:val="24"/>
          <w:szCs w:val="24"/>
        </w:rPr>
        <w:t>às horas já quitadas no curso do contrato de trabalho, nos termos do quantitativo fixado mediante negociação coletiva, mant</w:t>
      </w:r>
      <w:r>
        <w:rPr>
          <w:sz w:val="24"/>
          <w:szCs w:val="24"/>
        </w:rPr>
        <w:t>er</w:t>
      </w:r>
      <w:r w:rsidRPr="005A2031">
        <w:rPr>
          <w:sz w:val="24"/>
          <w:szCs w:val="24"/>
        </w:rPr>
        <w:t xml:space="preserve"> a condenação ao pag</w:t>
      </w:r>
      <w:r>
        <w:rPr>
          <w:sz w:val="24"/>
          <w:szCs w:val="24"/>
        </w:rPr>
        <w:t xml:space="preserve">amento dos respectivos reflexos. </w:t>
      </w:r>
      <w:hyperlink r:id="rId8" w:history="1">
        <w:r w:rsidRPr="001F0EBF">
          <w:rPr>
            <w:rStyle w:val="Hyperlink"/>
            <w:sz w:val="24"/>
            <w:szCs w:val="24"/>
          </w:rPr>
          <w:t>TST-E-RR-414600-67.2009.5.09.0325</w:t>
        </w:r>
      </w:hyperlink>
      <w:r>
        <w:rPr>
          <w:sz w:val="24"/>
          <w:szCs w:val="24"/>
          <w:u w:val="single"/>
        </w:rPr>
        <w:t xml:space="preserve">, SBDI-I, rel. Min. </w:t>
      </w:r>
      <w:r w:rsidRPr="007850D8">
        <w:rPr>
          <w:sz w:val="24"/>
          <w:szCs w:val="24"/>
          <w:u w:val="single"/>
        </w:rPr>
        <w:t xml:space="preserve">João Oreste Dalazen, </w:t>
      </w:r>
      <w:r>
        <w:rPr>
          <w:sz w:val="24"/>
          <w:szCs w:val="24"/>
          <w:u w:val="single"/>
        </w:rPr>
        <w:t>13.</w:t>
      </w:r>
      <w:r w:rsidRPr="007850D8">
        <w:rPr>
          <w:sz w:val="24"/>
          <w:szCs w:val="24"/>
          <w:u w:val="single"/>
        </w:rPr>
        <w:t>6.2013</w:t>
      </w:r>
      <w:r>
        <w:t xml:space="preserve"> </w:t>
      </w:r>
    </w:p>
    <w:p w:rsidR="001F0EBF" w:rsidRPr="001F0EBF" w:rsidRDefault="001F0EBF" w:rsidP="001F0EBF">
      <w:pPr>
        <w:jc w:val="both"/>
        <w:rPr>
          <w:b/>
          <w:i/>
          <w:sz w:val="10"/>
          <w:szCs w:val="10"/>
        </w:rPr>
      </w:pPr>
    </w:p>
    <w:p w:rsidR="001F0EBF" w:rsidRPr="005A2EAB" w:rsidRDefault="001F0EBF" w:rsidP="001F0EBF">
      <w:pPr>
        <w:jc w:val="both"/>
        <w:rPr>
          <w:b/>
          <w:i/>
          <w:sz w:val="24"/>
          <w:szCs w:val="24"/>
        </w:rPr>
      </w:pPr>
      <w:r w:rsidRPr="005A2EAB">
        <w:rPr>
          <w:b/>
          <w:i/>
          <w:sz w:val="24"/>
          <w:szCs w:val="24"/>
        </w:rPr>
        <w:t>CEF.  Complemento Temporário Variável de Ajuste de Mercado – CTVA. Inclusão na base de cálculo das vantagens pessoais. Prescrição parcial.</w:t>
      </w:r>
    </w:p>
    <w:p w:rsidR="001F0EBF" w:rsidRPr="005A2EAB" w:rsidRDefault="001F0EBF" w:rsidP="001F0EBF">
      <w:pPr>
        <w:jc w:val="both"/>
        <w:rPr>
          <w:sz w:val="24"/>
          <w:szCs w:val="24"/>
          <w:u w:val="single"/>
        </w:rPr>
      </w:pPr>
      <w:r w:rsidRPr="005A2EAB">
        <w:rPr>
          <w:sz w:val="24"/>
          <w:szCs w:val="24"/>
        </w:rPr>
        <w:t>Aplica-se a prescrição parcial à pretensão da inclusão do Complemento Temporário Variável de Ajuste de Mercado – CTVA</w:t>
      </w:r>
      <w:r w:rsidRPr="005A2EAB">
        <w:rPr>
          <w:color w:val="000000"/>
          <w:sz w:val="24"/>
          <w:szCs w:val="24"/>
        </w:rPr>
        <w:t xml:space="preserve">, instituída pela Caixa Econômica Federal – CEF, </w:t>
      </w:r>
      <w:r w:rsidRPr="005A2EAB">
        <w:rPr>
          <w:sz w:val="24"/>
          <w:szCs w:val="24"/>
        </w:rPr>
        <w:t xml:space="preserve">na base de cálculo das vantagens pessoais (VPs). Trata-se de verba de natureza salarial, instituída no PCS 1998, de modo que o pleito de integração não está calcado em lesão decorrente de ato único do empregador, mas em norma interna continuamente descumprida. Com esses fundamentos, a SBDI-I, por unanimidade, conheceu do recurso de embargos do reclamante, por divergência jurisprudencial, e, no mérito, deu-lhe provimento para afastar a prescrição pronunciada e determinar o retorno dos autos à Turma de origem, a fim de que examine o recurso de revista da CEF quanto aos demais temas de mérito, como entender de direito. </w:t>
      </w:r>
      <w:hyperlink r:id="rId9" w:history="1">
        <w:r w:rsidRPr="005A2EAB">
          <w:rPr>
            <w:rStyle w:val="Hyperlink"/>
            <w:sz w:val="24"/>
            <w:szCs w:val="24"/>
          </w:rPr>
          <w:t>TST-E-ED-RR-132300-72.2007.5.04.0541</w:t>
        </w:r>
      </w:hyperlink>
      <w:r w:rsidRPr="005A2EAB">
        <w:rPr>
          <w:sz w:val="24"/>
          <w:szCs w:val="24"/>
          <w:u w:val="single"/>
        </w:rPr>
        <w:t>, SBDI-I, rel. Min. Alexandre de Souza Agra Belmonte, 13.6.2013</w:t>
      </w:r>
    </w:p>
    <w:p w:rsidR="001F0EBF" w:rsidRPr="001F0EBF" w:rsidRDefault="001F0EBF" w:rsidP="001F0EBF">
      <w:pPr>
        <w:jc w:val="both"/>
        <w:rPr>
          <w:b/>
          <w:i/>
          <w:sz w:val="10"/>
          <w:szCs w:val="10"/>
        </w:rPr>
      </w:pPr>
    </w:p>
    <w:p w:rsidR="00EE7E05" w:rsidRDefault="00EE7E05" w:rsidP="001F0EB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Transferências sucessivas. Provisoriedade. Configuração. Adicional de transferência. Devido.</w:t>
      </w:r>
    </w:p>
    <w:p w:rsidR="00EE7E05" w:rsidRDefault="00EE7E05" w:rsidP="001F0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empregado transferido sucessivamente tem direito ao recebimento do adicional de transferência porquanto configurada a transitoriedade dos deslocamentos, não importando o fato de ter retornado à cidade de sua contratação ou mesmo que a última transferência tenha perdurado por mais de dois anos. Com esses fundamentos, e não divisando contrariedade à Orientação Jurisprudencial nº 113 da SBDI-I, a Subseção, por unanimidade, não conheceu do recurso de embargos do reclamado. </w:t>
      </w:r>
      <w:hyperlink r:id="rId10" w:history="1">
        <w:r w:rsidRPr="006B5ACD">
          <w:rPr>
            <w:rStyle w:val="Hyperlink"/>
            <w:sz w:val="24"/>
            <w:szCs w:val="24"/>
          </w:rPr>
          <w:t>TST-E-ED-ED-RR-87100-24.2005.5.09.0072</w:t>
        </w:r>
      </w:hyperlink>
      <w:r w:rsidRPr="00076827">
        <w:rPr>
          <w:sz w:val="24"/>
          <w:szCs w:val="24"/>
          <w:u w:val="single"/>
        </w:rPr>
        <w:t>, S</w:t>
      </w:r>
      <w:r>
        <w:rPr>
          <w:sz w:val="24"/>
          <w:szCs w:val="24"/>
          <w:u w:val="single"/>
        </w:rPr>
        <w:t>B</w:t>
      </w:r>
      <w:r w:rsidRPr="00076827">
        <w:rPr>
          <w:sz w:val="24"/>
          <w:szCs w:val="24"/>
          <w:u w:val="single"/>
        </w:rPr>
        <w:t xml:space="preserve">DI-I, rel. </w:t>
      </w:r>
      <w:r>
        <w:rPr>
          <w:sz w:val="24"/>
          <w:szCs w:val="24"/>
          <w:u w:val="single"/>
        </w:rPr>
        <w:t>Min. Dora Maria da Costa, 13.</w:t>
      </w:r>
      <w:r w:rsidRPr="00076827">
        <w:rPr>
          <w:sz w:val="24"/>
          <w:szCs w:val="24"/>
          <w:u w:val="single"/>
        </w:rPr>
        <w:t>6.2013</w:t>
      </w:r>
    </w:p>
    <w:p w:rsidR="00EE7E05" w:rsidRPr="005D1DE4" w:rsidRDefault="00EE7E05" w:rsidP="002C2904">
      <w:pPr>
        <w:ind w:right="-71"/>
        <w:jc w:val="both"/>
        <w:rPr>
          <w:sz w:val="24"/>
          <w:szCs w:val="24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B0" w:rsidRDefault="006D6AB0">
      <w:r>
        <w:separator/>
      </w:r>
    </w:p>
  </w:endnote>
  <w:endnote w:type="continuationSeparator" w:id="0">
    <w:p w:rsidR="006D6AB0" w:rsidRDefault="006D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0EB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A9754C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B0" w:rsidRDefault="006D6AB0">
      <w:r>
        <w:separator/>
      </w:r>
    </w:p>
  </w:footnote>
  <w:footnote w:type="continuationSeparator" w:id="0">
    <w:p w:rsidR="006D6AB0" w:rsidRDefault="006D6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AE5EDF" w:rsidRPr="00971E07">
      <w:rPr>
        <w:shadow/>
        <w:sz w:val="24"/>
        <w:szCs w:val="24"/>
      </w:rPr>
      <w:t>1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056752" w:rsidRPr="00971E07">
      <w:rPr>
        <w:sz w:val="20"/>
        <w:szCs w:val="20"/>
      </w:rPr>
      <w:t>1º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E16E01" w:rsidRPr="00971E07">
      <w:rPr>
        <w:sz w:val="20"/>
        <w:szCs w:val="20"/>
      </w:rPr>
      <w:t>7</w:t>
    </w:r>
    <w:r w:rsidR="00FE00AD" w:rsidRPr="00971E07">
      <w:rPr>
        <w:sz w:val="20"/>
        <w:szCs w:val="20"/>
      </w:rPr>
      <w:t xml:space="preserve"> de ma</w:t>
    </w:r>
    <w:r w:rsidR="00E16E01" w:rsidRPr="00971E07">
      <w:rPr>
        <w:sz w:val="20"/>
        <w:szCs w:val="20"/>
      </w:rPr>
      <w:t>rç</w:t>
    </w:r>
    <w:r w:rsidR="00FE00AD" w:rsidRPr="00971E07">
      <w:rPr>
        <w:sz w:val="20"/>
        <w:szCs w:val="20"/>
      </w:rPr>
      <w:t>o de 20</w:t>
    </w:r>
    <w:r w:rsidR="00E16E01" w:rsidRPr="00971E07">
      <w:rPr>
        <w:sz w:val="20"/>
        <w:szCs w:val="20"/>
      </w:rPr>
      <w:t>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2pt;height:77.2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EE7E05">
      <w:rPr>
        <w:b/>
        <w:sz w:val="40"/>
        <w:szCs w:val="40"/>
      </w:rPr>
      <w:t>5</w:t>
    </w:r>
    <w:r w:rsidR="00AE5EDF" w:rsidRPr="002168DE">
      <w:rPr>
        <w:b/>
        <w:sz w:val="40"/>
        <w:szCs w:val="40"/>
      </w:rPr>
      <w:t>1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EE7E05">
      <w:rPr>
        <w:i/>
        <w:iCs/>
      </w:rPr>
      <w:t>12</w:t>
    </w:r>
    <w:r w:rsidR="00FE00AD" w:rsidRPr="005D1DE4">
      <w:rPr>
        <w:i/>
        <w:iCs/>
      </w:rPr>
      <w:t xml:space="preserve"> a </w:t>
    </w:r>
    <w:r w:rsidR="00EE7E05">
      <w:rPr>
        <w:i/>
        <w:iCs/>
      </w:rPr>
      <w:t>1</w:t>
    </w:r>
    <w:r w:rsidR="00FE00AD" w:rsidRPr="005D1DE4">
      <w:rPr>
        <w:i/>
        <w:iCs/>
      </w:rPr>
      <w:t xml:space="preserve">7 de </w:t>
    </w:r>
    <w:r w:rsidR="00EE7E05">
      <w:rPr>
        <w:i/>
        <w:iCs/>
      </w:rPr>
      <w:t xml:space="preserve">junho </w:t>
    </w:r>
    <w:r w:rsidR="00FE00AD" w:rsidRPr="005D1DE4">
      <w:rPr>
        <w:i/>
        <w:iCs/>
      </w:rPr>
      <w:t>de 201</w:t>
    </w:r>
    <w:r w:rsidR="00EE7E05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2F88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1F0EB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5EC9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2EAB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B3FCF"/>
    <w:rsid w:val="006B46CA"/>
    <w:rsid w:val="006B5ACD"/>
    <w:rsid w:val="006C0391"/>
    <w:rsid w:val="006C28B3"/>
    <w:rsid w:val="006D1F66"/>
    <w:rsid w:val="006D306E"/>
    <w:rsid w:val="006D4497"/>
    <w:rsid w:val="006D6AB0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41844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9754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517C3"/>
    <w:rsid w:val="00B518B2"/>
    <w:rsid w:val="00B526EA"/>
    <w:rsid w:val="00B536FE"/>
    <w:rsid w:val="00B73FFA"/>
    <w:rsid w:val="00B874F1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41B5"/>
    <w:rsid w:val="00EE66C9"/>
    <w:rsid w:val="00EE7E05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414600&amp;digitoTst=67&amp;anoTst=2009&amp;orgaoTst=5&amp;tribunalTst=09&amp;varaTst=03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licacao5.tst.jus.br/consultaProcessual/consultaTstNumUnica.do?consulta=Consultar&amp;conscsjt=&amp;numeroTst=87100&amp;digitoTst=24&amp;anoTst=2005&amp;orgaoTst=5&amp;tribunalTst=09&amp;varaTst=0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132300&amp;digitoTst=72&amp;anoTst=2007&amp;orgaoTst=5&amp;tribunalTst=04&amp;varaTst=054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F7B9-6E8F-4390-9E95-556BF97E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4051</CharactersWithSpaces>
  <SharedDoc>false</SharedDoc>
  <HLinks>
    <vt:vector size="18" baseType="variant"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https://aplicacao5.tst.jus.br/consultaProcessual/consultaTstNumUnica.do?consulta=Consultar&amp;conscsjt=&amp;numeroTst=87100&amp;digitoTst=24&amp;anoTst=2005&amp;orgaoTst=5&amp;tribunalTst=09&amp;varaTst=0072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https://aplicacao5.tst.jus.br/consultaProcessual/consultaTstNumUnica.do?consulta=Consultar&amp;conscsjt=&amp;numeroTst=132300&amp;digitoTst=72&amp;anoTst=2007&amp;orgaoTst=5&amp;tribunalTst=04&amp;varaTst=0541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https://aplicacao5.tst.jus.br/consultaProcessual/consultaTstNumUnica.do?consulta=Consultar&amp;conscsjt=&amp;numeroTst=414600&amp;digitoTst=67&amp;anoTst=2009&amp;orgaoTst=5&amp;tribunalTst=09&amp;varaTst=0325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2018-06-27T21:44:00Z</dcterms:created>
  <dcterms:modified xsi:type="dcterms:W3CDTF">2018-06-27T21:44:00Z</dcterms:modified>
</cp:coreProperties>
</file>