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143A92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SEÇÃO ESPECIALIZADA EM DISSÍDIOS COLETIVOS</w:t>
      </w:r>
    </w:p>
    <w:p w:rsidR="00C71A3B" w:rsidRPr="005D1DE4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10"/>
          <w:szCs w:val="10"/>
          <w:lang w:val="pt-BR"/>
        </w:rPr>
      </w:pPr>
    </w:p>
    <w:p w:rsidR="0078734E" w:rsidRDefault="0078734E" w:rsidP="007873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Dissídio coletivo de natureza jurídica. Demissão coletiva. Não configuração. Ausência de fato único alheio à pessoa do empregado.</w:t>
      </w:r>
    </w:p>
    <w:p w:rsidR="0078734E" w:rsidRPr="000C3445" w:rsidRDefault="0078734E" w:rsidP="0078734E">
      <w:pPr>
        <w:jc w:val="both"/>
        <w:rPr>
          <w:sz w:val="24"/>
          <w:szCs w:val="24"/>
        </w:rPr>
      </w:pPr>
      <w:r w:rsidRPr="000C3445">
        <w:rPr>
          <w:sz w:val="24"/>
          <w:szCs w:val="24"/>
        </w:rPr>
        <w:t>A d</w:t>
      </w:r>
      <w:r>
        <w:rPr>
          <w:sz w:val="24"/>
          <w:szCs w:val="24"/>
        </w:rPr>
        <w:t xml:space="preserve">ispensa de cento e oitenta empregados ao longo de quatro meses não configura “demissão em massa”, pois esta pressupõe um fato único, seja de ordem econômica, tecnológica ou estrutural, alheio à pessoa do empregado. No caso concreto, restou demonstrado que a demissão dos empregados estava dentro dos parâmetros de normalidade do fluxo de mão de obra da empresa, e ocorreu em momento de incremento de produção e recuperação de postos de trabalho, caracterizando-se tão-somente como dispensa plúrima. </w:t>
      </w:r>
      <w:r w:rsidRPr="00957A2C">
        <w:rPr>
          <w:sz w:val="24"/>
          <w:szCs w:val="24"/>
        </w:rPr>
        <w:t>Com esse entendimento,</w:t>
      </w:r>
      <w:r>
        <w:rPr>
          <w:sz w:val="24"/>
          <w:szCs w:val="24"/>
        </w:rPr>
        <w:t xml:space="preserve"> a</w:t>
      </w:r>
      <w:r w:rsidRPr="00957A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SDC, </w:t>
      </w:r>
      <w:r w:rsidRPr="00957A2C">
        <w:rPr>
          <w:sz w:val="24"/>
          <w:szCs w:val="24"/>
        </w:rPr>
        <w:t>por unanimidade, neg</w:t>
      </w:r>
      <w:r>
        <w:rPr>
          <w:sz w:val="24"/>
          <w:szCs w:val="24"/>
        </w:rPr>
        <w:t xml:space="preserve">ou </w:t>
      </w:r>
      <w:r w:rsidRPr="00957A2C">
        <w:rPr>
          <w:sz w:val="24"/>
          <w:szCs w:val="24"/>
        </w:rPr>
        <w:t xml:space="preserve">provimento ao </w:t>
      </w:r>
      <w:r>
        <w:rPr>
          <w:sz w:val="24"/>
          <w:szCs w:val="24"/>
        </w:rPr>
        <w:t>r</w:t>
      </w:r>
      <w:r w:rsidRPr="00957A2C">
        <w:rPr>
          <w:sz w:val="24"/>
          <w:szCs w:val="24"/>
        </w:rPr>
        <w:t>ecurso</w:t>
      </w:r>
      <w:r>
        <w:rPr>
          <w:sz w:val="24"/>
          <w:szCs w:val="24"/>
        </w:rPr>
        <w:t xml:space="preserve"> o</w:t>
      </w:r>
      <w:r w:rsidRPr="00957A2C">
        <w:rPr>
          <w:sz w:val="24"/>
          <w:szCs w:val="24"/>
        </w:rPr>
        <w:t>rdinário</w:t>
      </w:r>
      <w:r>
        <w:rPr>
          <w:sz w:val="24"/>
          <w:szCs w:val="24"/>
        </w:rPr>
        <w:t xml:space="preserve"> interposto pelo </w:t>
      </w:r>
      <w:r w:rsidRPr="00957D35">
        <w:rPr>
          <w:sz w:val="24"/>
          <w:szCs w:val="24"/>
        </w:rPr>
        <w:t>Sindicato dos Trabalhadores nas Indústrias Metalúrgicas, Mecânicas e de Material Elétrico, Eletrônico e Fibra Óptica de Campinas e Região</w:t>
      </w:r>
      <w:r>
        <w:rPr>
          <w:sz w:val="24"/>
          <w:szCs w:val="24"/>
        </w:rPr>
        <w:t xml:space="preserve">. </w:t>
      </w:r>
      <w:hyperlink r:id="rId8" w:history="1">
        <w:r w:rsidRPr="00EA3C57">
          <w:rPr>
            <w:rStyle w:val="Hyperlink"/>
            <w:sz w:val="24"/>
            <w:szCs w:val="24"/>
          </w:rPr>
          <w:t>TST-RO-147-67.2012.5.15.0000</w:t>
        </w:r>
      </w:hyperlink>
      <w:r w:rsidRPr="00F67E2B">
        <w:rPr>
          <w:sz w:val="24"/>
          <w:szCs w:val="24"/>
          <w:u w:val="single"/>
        </w:rPr>
        <w:t xml:space="preserve">, SDC, rel. </w:t>
      </w:r>
      <w:r w:rsidRPr="001A6D61">
        <w:rPr>
          <w:sz w:val="24"/>
          <w:szCs w:val="24"/>
          <w:u w:val="single"/>
        </w:rPr>
        <w:t xml:space="preserve">Min. </w:t>
      </w:r>
      <w:r w:rsidRPr="00F67E2B">
        <w:rPr>
          <w:sz w:val="24"/>
          <w:szCs w:val="24"/>
          <w:u w:val="single"/>
        </w:rPr>
        <w:t>Maria de Assis Calsing</w:t>
      </w:r>
      <w:r w:rsidRPr="001A6D61">
        <w:rPr>
          <w:sz w:val="24"/>
          <w:szCs w:val="24"/>
          <w:u w:val="single"/>
        </w:rPr>
        <w:t>, 15.4.2013</w:t>
      </w:r>
    </w:p>
    <w:p w:rsidR="00C71A3B" w:rsidRPr="00D12D6C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E00AD" w:rsidRPr="005D1DE4" w:rsidRDefault="00FE00AD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78734E" w:rsidRDefault="0078734E" w:rsidP="0078734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Turnos ininterruptos de revezamento. Norma coletiva. Extensão da jornada para além da oitava hora. Adoção de regime de compensação semanal. Invalidade. Art. 7º, XIV, da CF e Súmula nº 423 do TST.</w:t>
      </w:r>
    </w:p>
    <w:p w:rsidR="0078734E" w:rsidRDefault="0078734E" w:rsidP="007873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Nos termos do art. 7, XIV, da CF e da Súmula nº 423 do TST, n</w:t>
      </w:r>
      <w:r w:rsidRPr="00081C11">
        <w:rPr>
          <w:sz w:val="24"/>
          <w:szCs w:val="24"/>
        </w:rPr>
        <w:t>ão é válida</w:t>
      </w:r>
      <w:r>
        <w:rPr>
          <w:sz w:val="24"/>
          <w:szCs w:val="24"/>
        </w:rPr>
        <w:t xml:space="preserve"> cláusula de instrumento normativo que estipula jornada superior a oito horas em turnos ininterruptos de revezamento, ainda que a extrapolação do limite diário decorra da adoção de regime de compensação semanal, com vistas à supressão da realização de trabalho aos sábados. Na hipótese, não se admite a majoração da jornada para além da oitava hora, pois a alternância de jornadas diurnas e </w:t>
      </w:r>
      <w:r w:rsidR="00574F5A">
        <w:rPr>
          <w:sz w:val="24"/>
          <w:szCs w:val="24"/>
        </w:rPr>
        <w:t>not</w:t>
      </w:r>
      <w:r>
        <w:rPr>
          <w:sz w:val="24"/>
          <w:szCs w:val="24"/>
        </w:rPr>
        <w:t xml:space="preserve">urnas a que submetidos os empregados em turnos ininterruptos de revezamento é particularmente gravosa, causando-lhes prejuízos à saúde, à vida social e à organização de atividades extraprofissionais. Com base nesse entendimento, a SBDI-I, por unanimidade, conheceu dos embargos, por contrariedade à Súmula nº 423 do TST, e, no mérito, por maioria, deu-lhes provimento para, reconhecendo a invalidade da cláusula coletiva que prevê jornada superior ao limite de oito horas fixado, condenar a reclamada ao pagamento das horas laboradas além da sexta diária (art. 7º, XIV, da CF), ficando restabelecida a sentença quanto à forma de apuração das referidas horas. Vencidos os Ministros Dora Maria da Costa, Brito Pereira, Renato de Lacerda Paiva e Aloysio Corrêa da Veiga. </w:t>
      </w:r>
      <w:hyperlink r:id="rId9" w:history="1">
        <w:r w:rsidRPr="00EA3C57">
          <w:rPr>
            <w:rStyle w:val="Hyperlink"/>
            <w:sz w:val="24"/>
            <w:szCs w:val="24"/>
          </w:rPr>
          <w:t>TST-E-ED-ARR-483-91.2010.5.03.0027</w:t>
        </w:r>
      </w:hyperlink>
      <w:r w:rsidRPr="003D03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SBDI-I, rel. Min. Alberto Luiz Bresciani de Fontan Pereira, 11.4.2013</w:t>
      </w:r>
    </w:p>
    <w:p w:rsidR="0078734E" w:rsidRPr="00D12D6C" w:rsidRDefault="0078734E" w:rsidP="0078734E">
      <w:pPr>
        <w:jc w:val="both"/>
        <w:rPr>
          <w:sz w:val="10"/>
          <w:szCs w:val="10"/>
          <w:u w:val="single"/>
        </w:rPr>
      </w:pPr>
    </w:p>
    <w:p w:rsidR="0078734E" w:rsidRPr="0078734E" w:rsidRDefault="0078734E" w:rsidP="0078734E">
      <w:pPr>
        <w:pStyle w:val="Ementa"/>
        <w:ind w:left="0"/>
        <w:rPr>
          <w:rFonts w:ascii="Times New Roman" w:hAnsi="Times New Roman"/>
          <w:b/>
          <w:i/>
          <w:color w:val="auto"/>
          <w:lang w:val="pt-BR"/>
        </w:rPr>
      </w:pPr>
      <w:r w:rsidRPr="0078734E">
        <w:rPr>
          <w:rFonts w:ascii="Times New Roman" w:hAnsi="Times New Roman"/>
          <w:b/>
          <w:i/>
          <w:color w:val="auto"/>
          <w:lang w:val="pt-BR"/>
        </w:rPr>
        <w:t xml:space="preserve">Atividade Docente. Instrutora de informática. Curso profissionalizante.  Reconhecimento da condição de professora. Princípio da primazia da realidade. </w:t>
      </w:r>
    </w:p>
    <w:p w:rsidR="0078734E" w:rsidRPr="0078734E" w:rsidRDefault="0078734E" w:rsidP="0078734E">
      <w:pPr>
        <w:jc w:val="both"/>
        <w:rPr>
          <w:sz w:val="24"/>
          <w:szCs w:val="24"/>
        </w:rPr>
      </w:pPr>
      <w:r w:rsidRPr="0078734E">
        <w:rPr>
          <w:sz w:val="24"/>
          <w:szCs w:val="24"/>
        </w:rPr>
        <w:t xml:space="preserve">Tendo em conta o princípio da primazia da realidade que rege as normas de Direito do Trabalho, a empregada contratada para o exercício da atividade de instrutora de informática, em estabelecimento que oferece cursos profissionalizantes, tem direito ao reconhecimento da condição de professora e à percepção das parcelas trabalhistas próprias dessa categoria. As exigências formais previstas no art. 317 da CLT são dirigidas aos estabelecimentos particulares de ensino. Assim, a SBDI-I, por unanimidade, conheceu dos embargos, por divergência jurisprudencial, e, no </w:t>
      </w:r>
      <w:r w:rsidRPr="0078734E">
        <w:rPr>
          <w:sz w:val="24"/>
          <w:szCs w:val="24"/>
        </w:rPr>
        <w:lastRenderedPageBreak/>
        <w:t>mérito, negou-lhes provimento.</w:t>
      </w:r>
      <w:r w:rsidRPr="00D12D6C">
        <w:rPr>
          <w:sz w:val="24"/>
          <w:szCs w:val="24"/>
        </w:rPr>
        <w:t xml:space="preserve"> </w:t>
      </w:r>
      <w:hyperlink r:id="rId10" w:history="1">
        <w:r w:rsidRPr="00D12D6C">
          <w:rPr>
            <w:rStyle w:val="Hyperlink"/>
            <w:sz w:val="24"/>
            <w:szCs w:val="24"/>
          </w:rPr>
          <w:t>TST-E-ED-RR-6800-19.2007.5.04.0016</w:t>
        </w:r>
      </w:hyperlink>
      <w:r w:rsidRPr="0078734E">
        <w:rPr>
          <w:sz w:val="24"/>
          <w:szCs w:val="24"/>
          <w:u w:val="single"/>
        </w:rPr>
        <w:t>, SBDI-I, rel. Min. João Oreste Dalazen, 11.4.2013</w:t>
      </w:r>
    </w:p>
    <w:p w:rsidR="0078734E" w:rsidRPr="00D12D6C" w:rsidRDefault="0078734E" w:rsidP="0078734E">
      <w:pPr>
        <w:ind w:right="-142"/>
        <w:jc w:val="both"/>
        <w:rPr>
          <w:sz w:val="10"/>
          <w:szCs w:val="10"/>
        </w:rPr>
      </w:pPr>
    </w:p>
    <w:p w:rsidR="0078734E" w:rsidRPr="00E708A5" w:rsidRDefault="0078734E" w:rsidP="0078734E">
      <w:pPr>
        <w:ind w:right="-1"/>
        <w:jc w:val="both"/>
        <w:rPr>
          <w:b/>
          <w:sz w:val="24"/>
          <w:szCs w:val="24"/>
        </w:rPr>
      </w:pPr>
      <w:r w:rsidRPr="00E708A5">
        <w:rPr>
          <w:b/>
          <w:i/>
          <w:sz w:val="24"/>
          <w:szCs w:val="24"/>
        </w:rPr>
        <w:t>Dano moral</w:t>
      </w:r>
      <w:r>
        <w:rPr>
          <w:b/>
          <w:i/>
          <w:sz w:val="24"/>
          <w:szCs w:val="24"/>
        </w:rPr>
        <w:t xml:space="preserve">, </w:t>
      </w:r>
      <w:r w:rsidRPr="00E708A5">
        <w:rPr>
          <w:b/>
          <w:i/>
          <w:sz w:val="24"/>
          <w:szCs w:val="24"/>
        </w:rPr>
        <w:t>material</w:t>
      </w:r>
      <w:r>
        <w:rPr>
          <w:b/>
          <w:i/>
          <w:sz w:val="24"/>
          <w:szCs w:val="24"/>
        </w:rPr>
        <w:t xml:space="preserve"> e estético</w:t>
      </w:r>
      <w:r w:rsidRPr="00E708A5">
        <w:rPr>
          <w:b/>
          <w:i/>
          <w:sz w:val="24"/>
          <w:szCs w:val="24"/>
        </w:rPr>
        <w:t>. Doença ocupacional. Prescrição. Termo inicial. Data do trânsito em julgado d</w:t>
      </w:r>
      <w:r>
        <w:rPr>
          <w:b/>
          <w:i/>
          <w:sz w:val="24"/>
          <w:szCs w:val="24"/>
        </w:rPr>
        <w:t>a decisão</w:t>
      </w:r>
      <w:r w:rsidRPr="00E708A5">
        <w:rPr>
          <w:b/>
          <w:i/>
          <w:sz w:val="24"/>
          <w:szCs w:val="24"/>
        </w:rPr>
        <w:t xml:space="preserve"> que reconheceu </w:t>
      </w:r>
      <w:r>
        <w:rPr>
          <w:b/>
          <w:i/>
          <w:sz w:val="24"/>
          <w:szCs w:val="24"/>
        </w:rPr>
        <w:t xml:space="preserve">o nexo causal entre a doença e o trabalho executado. </w:t>
      </w:r>
      <w:r w:rsidRPr="00E708A5">
        <w:rPr>
          <w:b/>
          <w:i/>
          <w:sz w:val="24"/>
          <w:szCs w:val="24"/>
        </w:rPr>
        <w:t xml:space="preserve"> </w:t>
      </w:r>
    </w:p>
    <w:p w:rsidR="0078734E" w:rsidRDefault="0078734E" w:rsidP="0078734E">
      <w:pPr>
        <w:ind w:right="-1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O </w:t>
      </w:r>
      <w:r w:rsidRPr="0088694F">
        <w:rPr>
          <w:sz w:val="24"/>
          <w:szCs w:val="24"/>
        </w:rPr>
        <w:t xml:space="preserve">momento da ciência inequívoca da </w:t>
      </w:r>
      <w:r>
        <w:rPr>
          <w:sz w:val="24"/>
          <w:szCs w:val="24"/>
        </w:rPr>
        <w:t>lesão</w:t>
      </w:r>
      <w:r w:rsidRPr="0088694F">
        <w:rPr>
          <w:sz w:val="24"/>
          <w:szCs w:val="24"/>
        </w:rPr>
        <w:t xml:space="preserve"> </w:t>
      </w:r>
      <w:r w:rsidRPr="00976AA4">
        <w:rPr>
          <w:sz w:val="24"/>
          <w:szCs w:val="24"/>
        </w:rPr>
        <w:t>para efeito de definição do</w:t>
      </w:r>
      <w:r>
        <w:rPr>
          <w:sz w:val="24"/>
          <w:szCs w:val="24"/>
        </w:rPr>
        <w:t xml:space="preserve"> termo</w:t>
      </w:r>
      <w:r w:rsidRPr="0088694F">
        <w:rPr>
          <w:sz w:val="24"/>
          <w:szCs w:val="24"/>
        </w:rPr>
        <w:t xml:space="preserve"> inicial da contagem do prazo prescricional relativo ao pedido de indenização por dano moral</w:t>
      </w:r>
      <w:r>
        <w:rPr>
          <w:sz w:val="24"/>
          <w:szCs w:val="24"/>
        </w:rPr>
        <w:t>, material</w:t>
      </w:r>
      <w:r w:rsidRPr="0088694F">
        <w:rPr>
          <w:sz w:val="24"/>
          <w:szCs w:val="24"/>
        </w:rPr>
        <w:t xml:space="preserve"> e </w:t>
      </w:r>
      <w:r>
        <w:rPr>
          <w:sz w:val="24"/>
          <w:szCs w:val="24"/>
        </w:rPr>
        <w:t>estético</w:t>
      </w:r>
      <w:r w:rsidRPr="0088694F">
        <w:rPr>
          <w:sz w:val="24"/>
          <w:szCs w:val="24"/>
        </w:rPr>
        <w:t xml:space="preserve"> decorrente de doença ocupacional</w:t>
      </w:r>
      <w:r>
        <w:rPr>
          <w:sz w:val="24"/>
          <w:szCs w:val="24"/>
        </w:rPr>
        <w:t xml:space="preserve"> é a </w:t>
      </w:r>
      <w:r w:rsidRPr="0088694F">
        <w:rPr>
          <w:sz w:val="24"/>
          <w:szCs w:val="24"/>
        </w:rPr>
        <w:t>data d</w:t>
      </w:r>
      <w:r>
        <w:rPr>
          <w:sz w:val="24"/>
          <w:szCs w:val="24"/>
        </w:rPr>
        <w:t>o</w:t>
      </w:r>
      <w:r w:rsidRPr="0088694F">
        <w:rPr>
          <w:sz w:val="24"/>
          <w:szCs w:val="24"/>
        </w:rPr>
        <w:t xml:space="preserve"> </w:t>
      </w:r>
      <w:r>
        <w:rPr>
          <w:sz w:val="24"/>
          <w:szCs w:val="24"/>
        </w:rPr>
        <w:t>trânsito em julgado da decisão que reconheceu o nexo de causalidade entre a doença desenvolvida e o trabalho executado. A mera concessão do auxílio-doença não é determinante para a constatação da doença ocupacional, mas apenas indício de que a mazela acometida pode guardar vínculo com o serviço desempenhado</w:t>
      </w:r>
      <w:r w:rsidRPr="0088694F">
        <w:rPr>
          <w:sz w:val="24"/>
          <w:szCs w:val="24"/>
        </w:rPr>
        <w:t>. Com esse entendimento, a S</w:t>
      </w:r>
      <w:r>
        <w:rPr>
          <w:sz w:val="24"/>
          <w:szCs w:val="24"/>
        </w:rPr>
        <w:t>BDI-I</w:t>
      </w:r>
      <w:r w:rsidRPr="0088694F">
        <w:rPr>
          <w:sz w:val="24"/>
          <w:szCs w:val="24"/>
        </w:rPr>
        <w:t>, por unanimidade, conheceu dos embargos</w:t>
      </w:r>
      <w:r>
        <w:rPr>
          <w:sz w:val="24"/>
          <w:szCs w:val="24"/>
        </w:rPr>
        <w:t>,</w:t>
      </w:r>
      <w:r w:rsidRPr="0088694F">
        <w:rPr>
          <w:sz w:val="24"/>
          <w:szCs w:val="24"/>
        </w:rPr>
        <w:t xml:space="preserve"> por divergência jurisprudencial e, no mérito, por maioria</w:t>
      </w:r>
      <w:r>
        <w:rPr>
          <w:sz w:val="24"/>
          <w:szCs w:val="24"/>
        </w:rPr>
        <w:t>, deu-lhes provimento para,</w:t>
      </w:r>
      <w:r w:rsidRPr="0088694F">
        <w:rPr>
          <w:sz w:val="24"/>
          <w:szCs w:val="24"/>
        </w:rPr>
        <w:t xml:space="preserve"> afast</w:t>
      </w:r>
      <w:r>
        <w:rPr>
          <w:sz w:val="24"/>
          <w:szCs w:val="24"/>
        </w:rPr>
        <w:t>ando</w:t>
      </w:r>
      <w:r w:rsidRPr="0088694F">
        <w:rPr>
          <w:sz w:val="24"/>
          <w:szCs w:val="24"/>
        </w:rPr>
        <w:t xml:space="preserve"> a prescrição </w:t>
      </w:r>
      <w:r>
        <w:rPr>
          <w:sz w:val="24"/>
          <w:szCs w:val="24"/>
        </w:rPr>
        <w:t>declarada</w:t>
      </w:r>
      <w:r w:rsidRPr="0088694F">
        <w:rPr>
          <w:sz w:val="24"/>
          <w:szCs w:val="24"/>
        </w:rPr>
        <w:t>, determina</w:t>
      </w:r>
      <w:r>
        <w:rPr>
          <w:sz w:val="24"/>
          <w:szCs w:val="24"/>
        </w:rPr>
        <w:t>r</w:t>
      </w:r>
      <w:r w:rsidRPr="0088694F">
        <w:rPr>
          <w:sz w:val="24"/>
          <w:szCs w:val="24"/>
        </w:rPr>
        <w:t xml:space="preserve"> o retorno dos autos à </w:t>
      </w:r>
      <w:r>
        <w:rPr>
          <w:sz w:val="24"/>
          <w:szCs w:val="24"/>
        </w:rPr>
        <w:t>vara de origem</w:t>
      </w:r>
      <w:r w:rsidRPr="0088694F">
        <w:rPr>
          <w:sz w:val="24"/>
          <w:szCs w:val="24"/>
        </w:rPr>
        <w:t xml:space="preserve"> a fim de que prossiga no julgamento do</w:t>
      </w:r>
      <w:r>
        <w:rPr>
          <w:sz w:val="24"/>
          <w:szCs w:val="24"/>
        </w:rPr>
        <w:t xml:space="preserve"> feito</w:t>
      </w:r>
      <w:r w:rsidRPr="0088694F">
        <w:rPr>
          <w:sz w:val="24"/>
          <w:szCs w:val="24"/>
        </w:rPr>
        <w:t xml:space="preserve"> como entender de direito.</w:t>
      </w:r>
      <w:r w:rsidR="00404508">
        <w:rPr>
          <w:sz w:val="24"/>
          <w:szCs w:val="24"/>
        </w:rPr>
        <w:t xml:space="preserve"> Vencidos os Ministros João Oreste Dalazen e Renato de Lacerda Paiva.</w:t>
      </w:r>
      <w:r>
        <w:rPr>
          <w:sz w:val="24"/>
          <w:szCs w:val="24"/>
        </w:rPr>
        <w:t xml:space="preserve"> </w:t>
      </w:r>
      <w:hyperlink r:id="rId11" w:history="1">
        <w:r w:rsidRPr="00D12D6C">
          <w:rPr>
            <w:rStyle w:val="Hyperlink"/>
            <w:sz w:val="24"/>
            <w:szCs w:val="24"/>
          </w:rPr>
          <w:t>TST-E-ED-RR-146900-24.2007.5.09.0068</w:t>
        </w:r>
      </w:hyperlink>
      <w:r w:rsidRPr="00383F20">
        <w:rPr>
          <w:color w:val="000000"/>
          <w:sz w:val="24"/>
          <w:szCs w:val="24"/>
          <w:u w:val="single"/>
        </w:rPr>
        <w:t xml:space="preserve">, SBDI-I, rel. </w:t>
      </w:r>
      <w:r w:rsidRPr="00383F20">
        <w:rPr>
          <w:sz w:val="24"/>
          <w:szCs w:val="24"/>
          <w:u w:val="single"/>
        </w:rPr>
        <w:t>Min. Brito Pereira, 11.4</w:t>
      </w:r>
      <w:r w:rsidRPr="00383F20">
        <w:rPr>
          <w:color w:val="000000"/>
          <w:sz w:val="24"/>
          <w:szCs w:val="24"/>
          <w:u w:val="single"/>
        </w:rPr>
        <w:t>.2013</w:t>
      </w:r>
    </w:p>
    <w:p w:rsidR="0078734E" w:rsidRPr="00D12D6C" w:rsidRDefault="0078734E" w:rsidP="0078734E">
      <w:pPr>
        <w:ind w:right="-1"/>
        <w:jc w:val="both"/>
        <w:rPr>
          <w:color w:val="000000"/>
          <w:sz w:val="10"/>
          <w:szCs w:val="10"/>
          <w:u w:val="single"/>
        </w:rPr>
      </w:pPr>
    </w:p>
    <w:p w:rsidR="0078734E" w:rsidRPr="0078734E" w:rsidRDefault="0078734E" w:rsidP="0078734E">
      <w:pPr>
        <w:jc w:val="both"/>
        <w:rPr>
          <w:b/>
          <w:i/>
          <w:sz w:val="24"/>
          <w:szCs w:val="24"/>
        </w:rPr>
      </w:pPr>
      <w:r w:rsidRPr="0078734E">
        <w:rPr>
          <w:b/>
          <w:i/>
          <w:sz w:val="24"/>
          <w:szCs w:val="24"/>
        </w:rPr>
        <w:t>Indenização por danos morais. Devida. Amputação do dedo indicador. Torneiro mecânico. Atividade de risco. Culpa presumida.</w:t>
      </w:r>
    </w:p>
    <w:p w:rsidR="0078734E" w:rsidRPr="003D032E" w:rsidRDefault="0078734E" w:rsidP="00787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SBDI-I, por maioria, conheceu dos embargos, por divergência jurisprudencial, e, no mérito, ainda por maioria, negou-lhes provimento, mantendo a decisão da 6ª Turma que, reconhecendo a responsabilidade do empregador no caso em que o trabalhador teve seu dedo indicador decepado ao trocar a pastilha do torno mecânico que operava, deferiu o pedido de indenização por dano moral. Na espécie, prevaleceu a tese de que o ofício de torneiro mecânico é atividade de risco, uma vez que implica operação de máquina potencialmente ofensiva, presumindo-se, portanto, a culpa da empresa. Vencidos, quanto ao conhecimento, os Ministros Lelio Bentes Corrêa, Alberto Luiz Bresciani de Fontan Pereira, Augusto César Leite de Carvalho e Delaíde Miranda Arantes, e, no mérito, os Ministros Ives Gandra Martins Filho, relator, Brito Pereira, Renato de Lacerda Paiva e Dora Maria da Costa. </w:t>
      </w:r>
      <w:hyperlink r:id="rId12" w:history="1">
        <w:r w:rsidRPr="00D12D6C">
          <w:rPr>
            <w:rStyle w:val="Hyperlink"/>
            <w:sz w:val="24"/>
            <w:szCs w:val="24"/>
          </w:rPr>
          <w:t>TST-E-ED-RR-154785-83.2007.5.15.0016</w:t>
        </w:r>
      </w:hyperlink>
      <w:r w:rsidRPr="0078734E">
        <w:rPr>
          <w:sz w:val="24"/>
          <w:szCs w:val="24"/>
          <w:u w:val="single"/>
        </w:rPr>
        <w:t>, SBDI-I, rel. Min. Ives Gandra da Silva Martins Filho, red. p/ acórdão Min. Aloysio Corrêa da Veiga, 11.4.2013</w:t>
      </w:r>
    </w:p>
    <w:p w:rsidR="00B14F7F" w:rsidRPr="00D12D6C" w:rsidRDefault="00B14F7F" w:rsidP="000C3022">
      <w:pPr>
        <w:ind w:right="-567"/>
        <w:jc w:val="both"/>
        <w:rPr>
          <w:b/>
          <w:i/>
        </w:rPr>
      </w:pPr>
    </w:p>
    <w:p w:rsidR="00BC1DE7" w:rsidRPr="005D1DE4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78734E" w:rsidRPr="0078734E" w:rsidRDefault="0078734E" w:rsidP="0078734E">
      <w:pPr>
        <w:jc w:val="both"/>
        <w:rPr>
          <w:b/>
          <w:i/>
          <w:sz w:val="10"/>
          <w:szCs w:val="10"/>
        </w:rPr>
      </w:pPr>
    </w:p>
    <w:p w:rsidR="0078734E" w:rsidRPr="0078734E" w:rsidRDefault="0078734E" w:rsidP="0078734E">
      <w:pPr>
        <w:jc w:val="both"/>
        <w:rPr>
          <w:b/>
          <w:i/>
          <w:sz w:val="24"/>
          <w:szCs w:val="24"/>
        </w:rPr>
      </w:pPr>
      <w:r w:rsidRPr="0078734E">
        <w:rPr>
          <w:b/>
          <w:i/>
          <w:sz w:val="24"/>
          <w:szCs w:val="24"/>
        </w:rPr>
        <w:t xml:space="preserve">Bem de família. Penhora incidente sobre imóvel hipotecado. Renúncia à garantia de impenhorabilidade. Impossibilidade. Lei nº 8.009/90.  </w:t>
      </w:r>
    </w:p>
    <w:p w:rsidR="0078734E" w:rsidRPr="0078734E" w:rsidRDefault="0078734E" w:rsidP="0078734E">
      <w:pPr>
        <w:jc w:val="both"/>
        <w:rPr>
          <w:sz w:val="24"/>
          <w:szCs w:val="24"/>
        </w:rPr>
      </w:pPr>
      <w:r w:rsidRPr="0078734E">
        <w:rPr>
          <w:sz w:val="24"/>
          <w:szCs w:val="24"/>
        </w:rPr>
        <w:t xml:space="preserve">O fato de o bem de família ter sido dado em garantia hipotecária não afasta a impenhorabilidade de que trata a Lei nº 8.009/90, porquanto não se admite a renúncia ao direito social à moradia, elencado no art. 6º, “caput”, da CF. Assim, apenas quando da cobrança da dívida constituída em favor da entidade familiar pode o imóvel dado em garantia real perder a condição de bem de família. Com esse entendimento, a SBDI-II, por unanimidade, deu provimento ao recurso ordinário para, julgando procedente o pleito rescisório, desconstituir o acórdão proferido em sede de agravo de petição, e, em juízo rescisório, julgar procedente o pedido deduzido pelo então embargante para afastar a penhora efetivada sobre o imóvel hipotecado. </w:t>
      </w:r>
      <w:hyperlink r:id="rId13" w:history="1">
        <w:r w:rsidRPr="00D12D6C">
          <w:rPr>
            <w:rStyle w:val="Hyperlink"/>
            <w:sz w:val="24"/>
            <w:szCs w:val="24"/>
          </w:rPr>
          <w:t>TST-RO-531-48.2011.5.12.0000</w:t>
        </w:r>
      </w:hyperlink>
      <w:r w:rsidRPr="0078734E">
        <w:rPr>
          <w:sz w:val="24"/>
          <w:szCs w:val="24"/>
          <w:u w:val="single"/>
        </w:rPr>
        <w:t>, SBDI-II, rel. Min. Guilherme Augusto Caputo Bastos, 9.4.2013</w:t>
      </w: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A1" w:rsidRDefault="005514A1">
      <w:r>
        <w:separator/>
      </w:r>
    </w:p>
  </w:endnote>
  <w:endnote w:type="continuationSeparator" w:id="0">
    <w:p w:rsidR="005514A1" w:rsidRDefault="005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4F5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595AE4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A1" w:rsidRDefault="005514A1">
      <w:r>
        <w:separator/>
      </w:r>
    </w:p>
  </w:footnote>
  <w:footnote w:type="continuationSeparator" w:id="0">
    <w:p w:rsidR="005514A1" w:rsidRDefault="0055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143A92">
      <w:rPr>
        <w:shadow/>
        <w:sz w:val="24"/>
        <w:szCs w:val="24"/>
      </w:rPr>
      <w:t>42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143A92">
      <w:rPr>
        <w:sz w:val="20"/>
        <w:szCs w:val="20"/>
      </w:rPr>
      <w:t>9 a 15 de abril de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35pt;height:77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143A92">
      <w:rPr>
        <w:b/>
        <w:sz w:val="40"/>
        <w:szCs w:val="40"/>
      </w:rPr>
      <w:t>42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143A92">
      <w:rPr>
        <w:i/>
        <w:iCs/>
      </w:rPr>
      <w:t>9</w:t>
    </w:r>
    <w:r w:rsidR="00FE00AD" w:rsidRPr="005D1DE4">
      <w:rPr>
        <w:i/>
        <w:iCs/>
      </w:rPr>
      <w:t xml:space="preserve"> a </w:t>
    </w:r>
    <w:r w:rsidR="00143A92">
      <w:rPr>
        <w:i/>
        <w:iCs/>
      </w:rPr>
      <w:t>15</w:t>
    </w:r>
    <w:r w:rsidR="00FE00AD" w:rsidRPr="005D1DE4">
      <w:rPr>
        <w:i/>
        <w:iCs/>
      </w:rPr>
      <w:t xml:space="preserve"> de </w:t>
    </w:r>
    <w:r w:rsidR="00143A92">
      <w:rPr>
        <w:i/>
        <w:iCs/>
      </w:rPr>
      <w:t xml:space="preserve">abril </w:t>
    </w:r>
    <w:r w:rsidR="00FE00AD" w:rsidRPr="005D1DE4">
      <w:rPr>
        <w:i/>
        <w:iCs/>
      </w:rPr>
      <w:t>de 201</w:t>
    </w:r>
    <w:r w:rsidR="00143A92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40FC9"/>
    <w:rsid w:val="00143A92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0450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14A1"/>
    <w:rsid w:val="00553197"/>
    <w:rsid w:val="0055409E"/>
    <w:rsid w:val="00556367"/>
    <w:rsid w:val="00556B35"/>
    <w:rsid w:val="00573E13"/>
    <w:rsid w:val="00574F5A"/>
    <w:rsid w:val="00584F82"/>
    <w:rsid w:val="00591DFA"/>
    <w:rsid w:val="00595AE4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8734E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5455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2D6C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3C57"/>
    <w:rsid w:val="00EA482D"/>
    <w:rsid w:val="00EB5FE6"/>
    <w:rsid w:val="00EB61A5"/>
    <w:rsid w:val="00EB7A09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47&amp;digitoTst=67&amp;anoTst=2012&amp;orgaoTst=5&amp;tribunalTst=15&amp;varaTst=0000https://aplicacao5.tst.jus.br/consultaProcessual/consultaTstNumUnica.do?consulta=Consultar&amp;conscsjt=&amp;numeroTst=147&amp;digitoTst=67&amp;anoTst=2012&amp;orgaoTst=5&amp;tribunalTst=15&amp;varaTst=0000" TargetMode="External"/><Relationship Id="rId13" Type="http://schemas.openxmlformats.org/officeDocument/2006/relationships/hyperlink" Target="https://aplicacao5.tst.jus.br/consultaProcessual/consultaTstNumUnica.do?consulta=Consultar&amp;conscsjt=&amp;numeroTst=531&amp;digitoTst=48&amp;anoTst=2011&amp;orgaoTst=5&amp;tribunalTst=12&amp;varaTst=0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154785&amp;digitoTst=83&amp;anoTst=2007&amp;orgaoTst=5&amp;tribunalTst=15&amp;varaTst=001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146900&amp;digitoTst=24&amp;anoTst=2007&amp;orgaoTst=5&amp;tribunalTst=09&amp;varaTst=00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licacao5.tst.jus.br/consultaProcessual/consultaTstNumUnica.do?consulta=Consultar&amp;conscsjt=&amp;numeroTst=6800&amp;digitoTst=19&amp;anoTst=2007&amp;orgaoTst=5&amp;tribunalTst=04&amp;varaTst=00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483&amp;digitoTst=91&amp;anoTst=2010&amp;orgaoTst=5&amp;tribunalTst=03&amp;varaTst=002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CE48-0E66-4F78-A507-FF40CE02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8605</CharactersWithSpaces>
  <SharedDoc>false</SharedDoc>
  <HLinks>
    <vt:vector size="36" baseType="variant"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https://aplicacao5.tst.jus.br/consultaProcessual/consultaTstNumUnica.do?consulta=Consultar&amp;conscsjt=&amp;numeroTst=531&amp;digitoTst=48&amp;anoTst=2011&amp;orgaoTst=5&amp;tribunalTst=12&amp;varaTst=0000</vt:lpwstr>
      </vt:variant>
      <vt:variant>
        <vt:lpwstr/>
      </vt:variant>
      <vt:variant>
        <vt:i4>5636166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https://aplicacao5.tst.jus.br/consultaProcessual/consultaTstNumUnica.do?consulta=Consultar&amp;conscsjt=&amp;numeroTst=154785&amp;digitoTst=83&amp;anoTst=2007&amp;orgaoTst=5&amp;tribunalTst=15&amp;varaTst=0016</vt:lpwstr>
      </vt:variant>
      <vt:variant>
        <vt:lpwstr/>
      </vt:variant>
      <vt:variant>
        <vt:i4>5242951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https://aplicacao5.tst.jus.br/consultaProcessual/consultaTstNumUnica.do?consulta=Consultar&amp;conscsjt=&amp;numeroTst=146900&amp;digitoTst=24&amp;anoTst=2007&amp;orgaoTst=5&amp;tribunalTst=09&amp;varaTst=0068</vt:lpwstr>
      </vt:variant>
      <vt:variant>
        <vt:lpwstr/>
      </vt:variant>
      <vt:variant>
        <vt:i4>6684785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https://aplicacao5.tst.jus.br/consultaProcessual/consultaTstNumUnica.do?consulta=Consultar&amp;conscsjt=&amp;numeroTst=6800&amp;digitoTst=19&amp;anoTst=2007&amp;orgaoTst=5&amp;tribunalTst=04&amp;varaTst=0016</vt:lpwstr>
      </vt:variant>
      <vt:variant>
        <vt:lpwstr/>
      </vt:variant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https://aplicacao5.tst.jus.br/consultaProcessual/consultaTstNumUnica.do?consulta=Consultar&amp;conscsjt=&amp;numeroTst=483&amp;digitoTst=91&amp;anoTst=2010&amp;orgaoTst=5&amp;tribunalTst=03&amp;varaTst=0027</vt:lpwstr>
      </vt:variant>
      <vt:variant>
        <vt:lpwstr/>
      </vt:variant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147&amp;digitoTst=67&amp;anoTst=2012&amp;orgaoTst=5&amp;tribunalTst=15&amp;varaTst=0000https://aplicacao5.tst.jus.br/consultaProcessual/consultaTstNumUnica.do?consulta=Consultar&amp;conscsjt=&amp;numeroTst=147&amp;digitoTst=67&amp;anoTst=2012&amp;orgaoTst=5&amp;tribunalTst=15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2018-06-27T21:45:00Z</dcterms:created>
  <dcterms:modified xsi:type="dcterms:W3CDTF">2018-06-27T21:45:00Z</dcterms:modified>
</cp:coreProperties>
</file>