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B1" w:rsidRPr="00FB20B1" w:rsidRDefault="00FB20B1">
      <w:pPr>
        <w:rPr>
          <w:sz w:val="10"/>
          <w:szCs w:val="10"/>
        </w:rPr>
      </w:pPr>
      <w:bookmarkStart w:id="0" w:name="_GoBack"/>
      <w:bookmarkEnd w:id="0"/>
    </w:p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187A37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Pr="00187A37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  <w:r w:rsidRPr="00187A37">
              <w:rPr>
                <w:sz w:val="16"/>
                <w:szCs w:val="16"/>
              </w:rPr>
              <w:t>Este Informativo, elaborado a partir de notas tomadas nas sessões de julgamentos, contém resumos não</w:t>
            </w:r>
            <w:r w:rsidR="00DC50EB" w:rsidRPr="00187A37">
              <w:rPr>
                <w:sz w:val="16"/>
                <w:szCs w:val="16"/>
              </w:rPr>
              <w:t xml:space="preserve"> </w:t>
            </w:r>
            <w:r w:rsidRPr="00187A37">
              <w:rPr>
                <w:sz w:val="16"/>
                <w:szCs w:val="16"/>
              </w:rPr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187A37">
              <w:rPr>
                <w:sz w:val="16"/>
                <w:szCs w:val="16"/>
              </w:rPr>
              <w:t xml:space="preserve"> Eletrônico </w:t>
            </w:r>
            <w:r w:rsidRPr="00187A37">
              <w:rPr>
                <w:sz w:val="16"/>
                <w:szCs w:val="16"/>
              </w:rPr>
              <w:t>da Justiça</w:t>
            </w:r>
            <w:r w:rsidR="00980944" w:rsidRPr="00187A37">
              <w:rPr>
                <w:sz w:val="16"/>
                <w:szCs w:val="16"/>
              </w:rPr>
              <w:t xml:space="preserve"> do Trabalho</w:t>
            </w:r>
            <w:r w:rsidRPr="00187A37">
              <w:rPr>
                <w:sz w:val="16"/>
                <w:szCs w:val="16"/>
              </w:rPr>
              <w:t>.</w:t>
            </w:r>
          </w:p>
        </w:tc>
      </w:tr>
    </w:tbl>
    <w:p w:rsidR="00EA29F5" w:rsidRPr="005D1DE4" w:rsidRDefault="00EA29F5" w:rsidP="00EA29F5">
      <w:pPr>
        <w:pStyle w:val="Corpodetexto2"/>
        <w:jc w:val="center"/>
        <w:rPr>
          <w:b/>
          <w:bCs/>
          <w:emboss/>
          <w:sz w:val="10"/>
          <w:szCs w:val="10"/>
        </w:rPr>
      </w:pPr>
    </w:p>
    <w:p w:rsidR="000228E6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left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  <w:r w:rsidR="000228E6"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ÓRGÃO ESPECIAL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ab/>
      </w:r>
    </w:p>
    <w:p w:rsidR="000228E6" w:rsidRPr="00EE32F1" w:rsidRDefault="000228E6" w:rsidP="00EA29F5">
      <w:pPr>
        <w:pStyle w:val="Corpodetexto2"/>
        <w:jc w:val="center"/>
        <w:rPr>
          <w:b/>
          <w:bCs/>
          <w:emboss/>
          <w:sz w:val="20"/>
          <w:szCs w:val="20"/>
        </w:rPr>
      </w:pPr>
    </w:p>
    <w:p w:rsidR="00792722" w:rsidRPr="00792722" w:rsidRDefault="00792722" w:rsidP="00792722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792722">
        <w:rPr>
          <w:b/>
          <w:bCs/>
          <w:i/>
          <w:iCs/>
          <w:color w:val="000000"/>
          <w:sz w:val="24"/>
          <w:szCs w:val="24"/>
        </w:rPr>
        <w:t>Precatório. Revisão dos cálculos. Limitação da execução ao perío</w:t>
      </w:r>
      <w:r>
        <w:rPr>
          <w:b/>
          <w:bCs/>
          <w:i/>
          <w:iCs/>
          <w:color w:val="000000"/>
          <w:sz w:val="24"/>
          <w:szCs w:val="24"/>
        </w:rPr>
        <w:t xml:space="preserve">do anterior à </w:t>
      </w:r>
      <w:r w:rsidRPr="00792722">
        <w:rPr>
          <w:b/>
          <w:bCs/>
          <w:i/>
          <w:iCs/>
          <w:color w:val="000000"/>
          <w:sz w:val="24"/>
          <w:szCs w:val="24"/>
        </w:rPr>
        <w:t>implementação do regime jurídico único. Inexistência de manifestação expressa em sentido contrário. Ofensa à coisa julgada. Não configuração. Dedução dos pagamentos referentes a período posterior ao regime jurídico único. Impossibilidade.</w:t>
      </w:r>
    </w:p>
    <w:p w:rsidR="00792722" w:rsidRPr="00274508" w:rsidRDefault="00792722" w:rsidP="0079272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</w:t>
      </w:r>
      <w:r w:rsidRPr="00782F9D">
        <w:rPr>
          <w:sz w:val="24"/>
          <w:szCs w:val="24"/>
        </w:rPr>
        <w:t>revisão dos cálculos</w:t>
      </w:r>
      <w:r>
        <w:rPr>
          <w:sz w:val="24"/>
          <w:szCs w:val="24"/>
        </w:rPr>
        <w:t xml:space="preserve">, </w:t>
      </w:r>
      <w:r w:rsidRPr="00782F9D">
        <w:rPr>
          <w:sz w:val="24"/>
          <w:szCs w:val="24"/>
        </w:rPr>
        <w:t>em sede de precatório</w:t>
      </w:r>
      <w:r>
        <w:rPr>
          <w:sz w:val="24"/>
          <w:szCs w:val="24"/>
        </w:rPr>
        <w:t xml:space="preserve">, </w:t>
      </w:r>
      <w:r w:rsidRPr="00782F9D">
        <w:rPr>
          <w:sz w:val="24"/>
          <w:szCs w:val="24"/>
        </w:rPr>
        <w:t>para limitar os efeitos de condenação pecuniária ao período em que o exequente era regido pela legislação trabalhista,</w:t>
      </w:r>
      <w:r>
        <w:rPr>
          <w:sz w:val="24"/>
          <w:szCs w:val="24"/>
        </w:rPr>
        <w:t xml:space="preserve"> ou seja, até o advento da Lei Estadual nº 11.712/90, que instituiu o regime jurídico único dos servidores do Estado do Ceará, não ofende a coisa julgada se ausente, na decisão exequenda, expressa manifestação contrária à referida limitação, conforme exigido pela Orientação Jurisprudencial nº 6 do Tribunal Pleno. De outra sorte, havendo </w:t>
      </w:r>
      <w:r w:rsidRPr="00274508">
        <w:rPr>
          <w:sz w:val="24"/>
          <w:szCs w:val="24"/>
        </w:rPr>
        <w:t>pagamentos efetuados</w:t>
      </w:r>
      <w:r>
        <w:rPr>
          <w:sz w:val="24"/>
          <w:szCs w:val="24"/>
        </w:rPr>
        <w:t xml:space="preserve"> por determinação judicial relativos a período em que já vigente o </w:t>
      </w:r>
      <w:r w:rsidRPr="00274508">
        <w:rPr>
          <w:sz w:val="24"/>
          <w:szCs w:val="24"/>
        </w:rPr>
        <w:t>regime jurídico único</w:t>
      </w:r>
      <w:r>
        <w:rPr>
          <w:sz w:val="24"/>
          <w:szCs w:val="24"/>
        </w:rPr>
        <w:t>,</w:t>
      </w:r>
      <w:r w:rsidRPr="00274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estes </w:t>
      </w:r>
      <w:r w:rsidRPr="00274508">
        <w:rPr>
          <w:sz w:val="24"/>
          <w:szCs w:val="24"/>
        </w:rPr>
        <w:t xml:space="preserve">não poderão ser </w:t>
      </w:r>
      <w:r>
        <w:rPr>
          <w:sz w:val="24"/>
          <w:szCs w:val="24"/>
        </w:rPr>
        <w:t>deduzidos de imediato dos</w:t>
      </w:r>
      <w:r w:rsidRPr="00274508">
        <w:rPr>
          <w:sz w:val="24"/>
          <w:szCs w:val="24"/>
        </w:rPr>
        <w:t xml:space="preserve"> valores a serem pagos, devendo ser objeto de ação de repetição de indébito</w:t>
      </w:r>
      <w:r>
        <w:rPr>
          <w:sz w:val="24"/>
          <w:szCs w:val="24"/>
        </w:rPr>
        <w:t>, em razão da garantia do contraditório e da ampla defesa</w:t>
      </w:r>
      <w:r w:rsidRPr="0027450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Com esses fundamentos, </w:t>
      </w:r>
      <w:r w:rsidRPr="00274508">
        <w:rPr>
          <w:sz w:val="24"/>
          <w:szCs w:val="24"/>
        </w:rPr>
        <w:t>o Órgão Especial, por maioria, conheceu d</w:t>
      </w:r>
      <w:r>
        <w:rPr>
          <w:sz w:val="24"/>
          <w:szCs w:val="24"/>
        </w:rPr>
        <w:t>o recurso ordinário</w:t>
      </w:r>
      <w:r w:rsidRPr="00274508">
        <w:rPr>
          <w:sz w:val="24"/>
          <w:szCs w:val="24"/>
        </w:rPr>
        <w:t xml:space="preserve"> e deu-lhe provimento para limitar os efeitos pecuniários da sentença condenatória ao período anterior ao advento da Lei nº 11.712/1990</w:t>
      </w:r>
      <w:r>
        <w:rPr>
          <w:sz w:val="24"/>
          <w:szCs w:val="24"/>
        </w:rPr>
        <w:t xml:space="preserve">, do Estado do Ceará, vedada a dedução dos pagamentos referentes a período posterior à vigência do regime jurídico único. Vencidos os Ministros </w:t>
      </w:r>
      <w:r w:rsidRPr="00274508">
        <w:rPr>
          <w:sz w:val="24"/>
          <w:szCs w:val="24"/>
        </w:rPr>
        <w:t>Luiz Philippe Vieira de Mello Filho e Brito Pereira</w:t>
      </w:r>
      <w:r>
        <w:rPr>
          <w:sz w:val="24"/>
          <w:szCs w:val="24"/>
        </w:rPr>
        <w:t>, que negavam provimento ao recurso.</w:t>
      </w:r>
      <w:r w:rsidRPr="00274508">
        <w:rPr>
          <w:sz w:val="24"/>
          <w:szCs w:val="24"/>
        </w:rPr>
        <w:t xml:space="preserve"> </w:t>
      </w:r>
      <w:hyperlink r:id="rId8" w:history="1">
        <w:r w:rsidRPr="00274508">
          <w:rPr>
            <w:rStyle w:val="Hyperlink"/>
            <w:sz w:val="24"/>
            <w:szCs w:val="24"/>
          </w:rPr>
          <w:t>TST-RO-10575-04.2010.5.07.0000</w:t>
        </w:r>
      </w:hyperlink>
      <w:r w:rsidRPr="00274508">
        <w:rPr>
          <w:sz w:val="24"/>
          <w:szCs w:val="24"/>
          <w:u w:val="single"/>
        </w:rPr>
        <w:t xml:space="preserve">, Órgão Especial, rel. Min. Márcio </w:t>
      </w:r>
      <w:r>
        <w:rPr>
          <w:sz w:val="24"/>
          <w:szCs w:val="24"/>
          <w:u w:val="single"/>
        </w:rPr>
        <w:t>Eurico Vitral Amaro, 8.4.2013</w:t>
      </w:r>
    </w:p>
    <w:p w:rsidR="00C71A3B" w:rsidRPr="00EE32F1" w:rsidRDefault="00C71A3B" w:rsidP="00F82D8F">
      <w:pPr>
        <w:pStyle w:val="Corpo"/>
        <w:spacing w:line="240" w:lineRule="auto"/>
        <w:ind w:firstLine="0"/>
        <w:rPr>
          <w:rFonts w:ascii="Times New Roman" w:hAnsi="Times New Roman" w:cs="Times New Roman"/>
          <w:b/>
          <w:bCs/>
          <w:shadow/>
          <w:color w:val="auto"/>
          <w:sz w:val="20"/>
          <w:szCs w:val="20"/>
          <w:lang w:val="pt-BR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2C2904" w:rsidRPr="00EE32F1" w:rsidRDefault="002C2904" w:rsidP="002C2904">
      <w:pPr>
        <w:ind w:right="-567"/>
        <w:jc w:val="both"/>
      </w:pPr>
    </w:p>
    <w:p w:rsidR="00EE32F1" w:rsidRDefault="00EE32F1" w:rsidP="00EE32F1">
      <w:pPr>
        <w:ind w:right="-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Sucessão trabalhista. Contrato de trabalho extinto antes da sucessão. Responsabilidade do sucessor.</w:t>
      </w:r>
      <w:r w:rsidRPr="003D032E">
        <w:rPr>
          <w:b/>
          <w:i/>
          <w:sz w:val="24"/>
          <w:szCs w:val="24"/>
        </w:rPr>
        <w:t xml:space="preserve"> </w:t>
      </w:r>
    </w:p>
    <w:p w:rsidR="00EE32F1" w:rsidRDefault="00EE32F1" w:rsidP="00EE32F1">
      <w:pPr>
        <w:ind w:righ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Nos termos dos arts. 10 e 448 da CLT, a sucessão trabalhista tem contornos diferentes da sucessão do direito civil, de modo que a responsabilidade do sucessor alcança não apenas os débitos provenientes dos contratos de trabalho em vigor à época da venda do fundo de comércio, mas também aqueles oriundos dos contratos extintos antes da sucessão de empresas. Com esse entendimento, a SBDI-I</w:t>
      </w:r>
      <w:r w:rsidRPr="001E650A">
        <w:rPr>
          <w:sz w:val="24"/>
          <w:szCs w:val="24"/>
        </w:rPr>
        <w:t xml:space="preserve">, por unanimidade, </w:t>
      </w:r>
      <w:r>
        <w:rPr>
          <w:sz w:val="24"/>
          <w:szCs w:val="24"/>
        </w:rPr>
        <w:t>conheceu dos embargos interpostos pela empresa reclamada (sucessora), por divergência jurisprudencial, e, no mérito, por maioria, negou-lhes provimento. Vencidos os Ministros Luiz Philippe Vieira de Mello Filho e Delaíde Miranda Arantes, que entendiam ser a prestação do serviço elemento essencial para a configuração da sucessão trabalhista</w:t>
      </w:r>
      <w:r w:rsidRPr="001E650A">
        <w:rPr>
          <w:sz w:val="24"/>
          <w:szCs w:val="24"/>
        </w:rPr>
        <w:t xml:space="preserve">. </w:t>
      </w:r>
      <w:hyperlink r:id="rId9" w:history="1">
        <w:r w:rsidRPr="00EE32F1">
          <w:rPr>
            <w:rStyle w:val="Hyperlink"/>
            <w:sz w:val="24"/>
            <w:szCs w:val="24"/>
          </w:rPr>
          <w:t>TST-E-RR-93400-11.2001.5.02.0048</w:t>
        </w:r>
      </w:hyperlink>
      <w:r w:rsidRPr="001E650A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SBDI-I</w:t>
      </w:r>
      <w:r w:rsidRPr="001E650A">
        <w:rPr>
          <w:sz w:val="24"/>
          <w:szCs w:val="24"/>
          <w:u w:val="single"/>
        </w:rPr>
        <w:t xml:space="preserve">, rel. Min. </w:t>
      </w:r>
      <w:r>
        <w:rPr>
          <w:sz w:val="24"/>
          <w:szCs w:val="24"/>
          <w:u w:val="single"/>
        </w:rPr>
        <w:t>Brito Pereira</w:t>
      </w:r>
      <w:r w:rsidRPr="001E650A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4</w:t>
      </w:r>
      <w:r w:rsidRPr="001E650A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4</w:t>
      </w:r>
      <w:r w:rsidRPr="001E650A">
        <w:rPr>
          <w:sz w:val="24"/>
          <w:szCs w:val="24"/>
          <w:u w:val="single"/>
        </w:rPr>
        <w:t>.201</w:t>
      </w:r>
      <w:r>
        <w:rPr>
          <w:sz w:val="24"/>
          <w:szCs w:val="24"/>
          <w:u w:val="single"/>
        </w:rPr>
        <w:t>3</w:t>
      </w:r>
    </w:p>
    <w:p w:rsidR="00EE32F1" w:rsidRPr="00EE32F1" w:rsidRDefault="00EE32F1" w:rsidP="002C2904">
      <w:pPr>
        <w:ind w:right="-71"/>
        <w:jc w:val="both"/>
      </w:pPr>
    </w:p>
    <w:p w:rsidR="00EE32F1" w:rsidRDefault="00EE32F1" w:rsidP="00EE32F1">
      <w:pPr>
        <w:ind w:right="-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Ação civil pública ajuizada em vara do trabalho da sede do TRT. Dano de abrangência nacional. Limitação da coisa julgada à área de jurisdição do Tribunal Regional. Contrariedade ao item III da Orientação Jurisprudencial nº 130 da SBDI-II. Configuração.</w:t>
      </w:r>
    </w:p>
    <w:p w:rsidR="00EE32F1" w:rsidRDefault="00EE32F1" w:rsidP="00EE32F1">
      <w:pPr>
        <w:ind w:right="-142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No caso em que o objetivo da ação civil pública é coibir conduta ilícita da empresa que tem atividade em todo o território nacional, e não só nos estabelecimentos localizados na área de jurisdição da 90ª Vara do Trabalho da Capital do Estado de São Paulo, em que ajuizada a ação, contraria o item III da Orientação Jurisprudencial nº 130 da SBDI-II a decisão que define como limite territorial dos efeitos </w:t>
      </w:r>
      <w:r>
        <w:rPr>
          <w:sz w:val="24"/>
          <w:szCs w:val="24"/>
        </w:rPr>
        <w:lastRenderedPageBreak/>
        <w:t xml:space="preserve">da coisa julgada a área de jurisdição do TRT da 2ª Região. Com esse entendimento, a SBDI-I, por unanimidade, conheceu dos embargos, por divergência jurisprudencial, e, no mérito, deu-lhes provimento para estender a todo o território nacional os efeitos da decisão proferida na ação civil pública. </w:t>
      </w:r>
      <w:hyperlink r:id="rId10" w:history="1">
        <w:r w:rsidRPr="00EE32F1">
          <w:rPr>
            <w:rStyle w:val="Hyperlink"/>
            <w:sz w:val="24"/>
            <w:szCs w:val="24"/>
          </w:rPr>
          <w:t>TST-E-ED-RR-129600-12.2006.5.02.0090</w:t>
        </w:r>
      </w:hyperlink>
      <w:r w:rsidRPr="00C4127F">
        <w:rPr>
          <w:sz w:val="24"/>
          <w:szCs w:val="24"/>
          <w:u w:val="single"/>
        </w:rPr>
        <w:t>, SBDI-I, rel. Min. Brito Pereira, 4.4.2013</w:t>
      </w:r>
    </w:p>
    <w:p w:rsidR="00BC1DE7" w:rsidRPr="00EE32F1" w:rsidRDefault="00BC1DE7" w:rsidP="00C71A3B">
      <w:pPr>
        <w:pStyle w:val="Corpo"/>
        <w:spacing w:line="240" w:lineRule="auto"/>
        <w:ind w:firstLine="0"/>
        <w:rPr>
          <w:rFonts w:ascii="Times New Roman" w:hAnsi="Times New Roman" w:cs="Times New Roman"/>
          <w:sz w:val="20"/>
          <w:szCs w:val="20"/>
          <w:u w:val="single"/>
          <w:lang w:val="pt-BR" w:eastAsia="en-US"/>
        </w:rPr>
      </w:pPr>
    </w:p>
    <w:p w:rsidR="00631F1C" w:rsidRPr="00971E07" w:rsidRDefault="00631F1C" w:rsidP="00631F1C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</w:pP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S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UBSEÇÃO II </w:t>
      </w:r>
      <w:r w:rsidRPr="00971E07"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 xml:space="preserve">ESPECIALIZADA EM DISSÍDIOS </w:t>
      </w:r>
      <w:r>
        <w:rPr>
          <w:rFonts w:ascii="Times New Roman" w:hAnsi="Times New Roman" w:cs="Times New Roman"/>
          <w:b/>
          <w:bCs/>
          <w:shadow/>
          <w:color w:val="auto"/>
          <w:sz w:val="26"/>
          <w:szCs w:val="26"/>
          <w:lang w:val="pt-BR"/>
        </w:rPr>
        <w:t>INDIVIDUAIS</w:t>
      </w:r>
    </w:p>
    <w:p w:rsidR="009027C8" w:rsidRPr="00EE32F1" w:rsidRDefault="009027C8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i/>
          <w:caps w:val="0"/>
          <w:color w:val="auto"/>
          <w:sz w:val="20"/>
          <w:szCs w:val="20"/>
        </w:rPr>
      </w:pPr>
    </w:p>
    <w:p w:rsidR="006A5668" w:rsidRPr="006A5668" w:rsidRDefault="006A5668" w:rsidP="006A5668">
      <w:pPr>
        <w:ind w:right="-142"/>
        <w:jc w:val="both"/>
        <w:rPr>
          <w:b/>
          <w:i/>
          <w:sz w:val="24"/>
          <w:szCs w:val="24"/>
        </w:rPr>
      </w:pPr>
      <w:r w:rsidRPr="006A5668">
        <w:rPr>
          <w:b/>
          <w:i/>
          <w:sz w:val="24"/>
          <w:szCs w:val="24"/>
        </w:rPr>
        <w:t xml:space="preserve">Mandado de segurança. Execução de honorários contratuais fixados em sentença transitada em julgado. Homologação de acordo que indiretamente reduz o crédito atribuído ao patrono. Existência de recurso próprio. Extinção do processo sem resolução do mérito. </w:t>
      </w:r>
    </w:p>
    <w:p w:rsidR="006A5668" w:rsidRDefault="006A5668" w:rsidP="006A5668">
      <w:pPr>
        <w:ind w:right="-142"/>
        <w:jc w:val="both"/>
        <w:rPr>
          <w:sz w:val="24"/>
          <w:szCs w:val="24"/>
        </w:rPr>
      </w:pPr>
      <w:r w:rsidRPr="006A5668">
        <w:rPr>
          <w:sz w:val="24"/>
          <w:szCs w:val="24"/>
        </w:rPr>
        <w:t xml:space="preserve">Não cabe mandado de segurança para impugnar decisão que, ao homologar transação em que o empregado acordou receber valor inferior ao crédito apurado no processo de execução, reduziu, indiretamente, o valor referente aos honorários contratuais devidos ao impetrante.  Havendo sentença transitada em julgado e estando o processo em fase de execução, passa o advogado a ser titular do crédito deferido na coisa julgada, qualificando-se, portanto, como parte legítima para interpor recurso próprio e específico, conforme dispõe o art. 499, “caput”, do CPC, e questionar a extensão dos efeitos da conciliação celebrada na fase de execução. Ainda que assim não fosse, a condição de terceiro prejudicado não retiraria a legitimidade para recorrer do impetrante, uma vez presente o nexo de interdependência entre o interesse de intervir e a relação jurídica em apreciação, exigido pelo § 1º do art. 499 do CPC. Assim, a SBDI-II, por maioria, julgou extinto o “mandamus” sem resolução do mérito, na forma do art. 267, VI, do CPC. Vencida a Ministra Maria Cristina Irigoyen Peduzzi. </w:t>
      </w:r>
      <w:hyperlink r:id="rId11" w:history="1">
        <w:r w:rsidRPr="006A5668">
          <w:rPr>
            <w:rStyle w:val="Hyperlink"/>
            <w:sz w:val="24"/>
            <w:szCs w:val="24"/>
          </w:rPr>
          <w:t>TST-RO-946-26.2011.5.05.0000</w:t>
        </w:r>
      </w:hyperlink>
      <w:r w:rsidRPr="00CF79D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SBDI-II, </w:t>
      </w:r>
      <w:r w:rsidRPr="00CF79D2">
        <w:rPr>
          <w:sz w:val="24"/>
          <w:szCs w:val="24"/>
          <w:u w:val="single"/>
        </w:rPr>
        <w:t>rel</w:t>
      </w:r>
      <w:r>
        <w:rPr>
          <w:sz w:val="24"/>
          <w:szCs w:val="24"/>
          <w:u w:val="single"/>
        </w:rPr>
        <w:t xml:space="preserve">. </w:t>
      </w:r>
      <w:r w:rsidRPr="00CF79D2">
        <w:rPr>
          <w:sz w:val="24"/>
          <w:szCs w:val="24"/>
          <w:u w:val="single"/>
        </w:rPr>
        <w:t>Min</w:t>
      </w:r>
      <w:r>
        <w:rPr>
          <w:sz w:val="24"/>
          <w:szCs w:val="24"/>
          <w:u w:val="single"/>
        </w:rPr>
        <w:t>.</w:t>
      </w:r>
      <w:r w:rsidRPr="00CF79D2">
        <w:rPr>
          <w:sz w:val="24"/>
          <w:szCs w:val="24"/>
          <w:u w:val="single"/>
        </w:rPr>
        <w:t xml:space="preserve"> Alexandre Agra Belmonte, 2.4.2013</w:t>
      </w:r>
      <w:r>
        <w:rPr>
          <w:sz w:val="24"/>
          <w:szCs w:val="24"/>
        </w:rPr>
        <w:t xml:space="preserve">  </w:t>
      </w:r>
    </w:p>
    <w:p w:rsidR="006A5668" w:rsidRPr="005D1DE4" w:rsidRDefault="006A5668" w:rsidP="005460BD">
      <w:pPr>
        <w:ind w:right="-71"/>
        <w:jc w:val="both"/>
      </w:pPr>
    </w:p>
    <w:p w:rsidR="00EA29F5" w:rsidRPr="005D1DE4" w:rsidRDefault="00EA29F5" w:rsidP="004B21AD">
      <w:pPr>
        <w:pStyle w:val="EXPLICAO"/>
        <w:ind w:left="0"/>
        <w:rPr>
          <w:rFonts w:ascii="Times New Roman" w:hAnsi="Times New Roman" w:cs="Times New Roman"/>
          <w:b/>
          <w:color w:val="auto"/>
          <w:sz w:val="10"/>
          <w:szCs w:val="10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4B21AD" w:rsidRPr="005D1DE4" w:rsidRDefault="004B21AD" w:rsidP="009027C8">
      <w:pPr>
        <w:pStyle w:val="tema"/>
        <w:tabs>
          <w:tab w:val="left" w:pos="11482"/>
          <w:tab w:val="left" w:pos="11624"/>
        </w:tabs>
        <w:ind w:left="0"/>
        <w:rPr>
          <w:rFonts w:ascii="Times New Roman" w:hAnsi="Times New Roman" w:cs="Times New Roman"/>
          <w:bCs w:val="0"/>
          <w:i/>
          <w:iCs/>
          <w:caps w:val="0"/>
          <w:color w:val="auto"/>
        </w:rPr>
      </w:pPr>
    </w:p>
    <w:p w:rsidR="006456B1" w:rsidRPr="005D1DE4" w:rsidRDefault="006456B1" w:rsidP="004C2612">
      <w:pPr>
        <w:pStyle w:val="EXPLICAO"/>
        <w:ind w:left="0"/>
        <w:rPr>
          <w:rFonts w:ascii="Times New Roman" w:hAnsi="Times New Roman" w:cs="Times New Roman"/>
          <w:b/>
          <w:color w:val="auto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C26DFB" w:rsidRPr="005D1DE4" w:rsidRDefault="00C26DFB">
      <w:pPr>
        <w:jc w:val="both"/>
        <w:rPr>
          <w:sz w:val="22"/>
          <w:szCs w:val="22"/>
          <w:u w:val="single"/>
        </w:rPr>
      </w:pP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 xml:space="preserve">Informativo TST é mantido pela </w:t>
      </w:r>
    </w:p>
    <w:p w:rsidR="00184590" w:rsidRPr="005D1DE4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0"/>
          <w:szCs w:val="20"/>
        </w:rPr>
      </w:pPr>
      <w:r w:rsidRPr="005D1DE4">
        <w:rPr>
          <w:b w:val="0"/>
          <w:bCs w:val="0"/>
          <w:snapToGrid w:val="0"/>
          <w:sz w:val="20"/>
          <w:szCs w:val="20"/>
        </w:rPr>
        <w:t>Coordenadoria de Jurisprudência – CJUR</w:t>
      </w:r>
    </w:p>
    <w:p w:rsidR="00184590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</w:rPr>
      </w:pPr>
      <w:r w:rsidRPr="005D1DE4">
        <w:rPr>
          <w:snapToGrid w:val="0"/>
        </w:rPr>
        <w:t>Informações/Sugestões/Críticas</w:t>
      </w:r>
      <w:r w:rsidRPr="005D1DE4">
        <w:rPr>
          <w:snapToGrid w:val="0"/>
          <w:sz w:val="22"/>
          <w:szCs w:val="22"/>
        </w:rPr>
        <w:t xml:space="preserve">: </w:t>
      </w:r>
      <w:r w:rsidRPr="005D1DE4">
        <w:rPr>
          <w:snapToGrid w:val="0"/>
        </w:rPr>
        <w:t>(61)3043</w:t>
      </w:r>
      <w:r w:rsidR="00352B27">
        <w:rPr>
          <w:snapToGrid w:val="0"/>
        </w:rPr>
        <w:t>-</w:t>
      </w:r>
      <w:r w:rsidRPr="005D1DE4">
        <w:rPr>
          <w:snapToGrid w:val="0"/>
        </w:rPr>
        <w:t>4</w:t>
      </w:r>
      <w:r w:rsidR="00D72C05" w:rsidRPr="005D1DE4">
        <w:rPr>
          <w:snapToGrid w:val="0"/>
        </w:rPr>
        <w:t>417</w:t>
      </w:r>
    </w:p>
    <w:p w:rsidR="007614F1" w:rsidRPr="005D1DE4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2"/>
          <w:szCs w:val="22"/>
        </w:rPr>
      </w:pPr>
      <w:r w:rsidRPr="005D1DE4">
        <w:rPr>
          <w:snapToGrid w:val="0"/>
        </w:rPr>
        <w:t>cjur@tst.jus.br</w:t>
      </w:r>
    </w:p>
    <w:sectPr w:rsidR="007614F1" w:rsidRPr="005D1DE4" w:rsidSect="00D11B2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B1" w:rsidRDefault="00FE5EB1">
      <w:r>
        <w:separator/>
      </w:r>
    </w:p>
  </w:endnote>
  <w:endnote w:type="continuationSeparator" w:id="0">
    <w:p w:rsidR="00FE5EB1" w:rsidRDefault="00F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15D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B415DC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B1" w:rsidRDefault="00FE5EB1">
      <w:r>
        <w:separator/>
      </w:r>
    </w:p>
  </w:footnote>
  <w:footnote w:type="continuationSeparator" w:id="0">
    <w:p w:rsidR="00FE5EB1" w:rsidRDefault="00FE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792722">
      <w:rPr>
        <w:shadow/>
        <w:sz w:val="24"/>
        <w:szCs w:val="24"/>
      </w:rPr>
      <w:t>4</w:t>
    </w:r>
    <w:r w:rsidR="00AE5EDF" w:rsidRPr="00971E07">
      <w:rPr>
        <w:shadow/>
        <w:sz w:val="24"/>
        <w:szCs w:val="24"/>
      </w:rPr>
      <w:t>1</w:t>
    </w:r>
  </w:p>
  <w:p w:rsidR="00FE00AD" w:rsidRPr="00971E07" w:rsidRDefault="00187A37">
    <w:pPr>
      <w:pStyle w:val="Ttulo6"/>
      <w:spacing w:line="360" w:lineRule="auto"/>
      <w:jc w:val="right"/>
      <w:rPr>
        <w:i/>
        <w:iCs/>
        <w:sz w:val="20"/>
        <w:szCs w:val="20"/>
      </w:rPr>
    </w:pPr>
    <w:r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2168DE">
      <w:rPr>
        <w:sz w:val="20"/>
        <w:szCs w:val="20"/>
      </w:rPr>
      <w:t xml:space="preserve">Período: </w:t>
    </w:r>
    <w:r w:rsidR="00792722">
      <w:rPr>
        <w:sz w:val="20"/>
        <w:szCs w:val="20"/>
      </w:rPr>
      <w:t>2</w:t>
    </w:r>
    <w:r w:rsidR="00E16E01" w:rsidRPr="00971E07">
      <w:rPr>
        <w:sz w:val="20"/>
        <w:szCs w:val="20"/>
      </w:rPr>
      <w:t xml:space="preserve"> a</w:t>
    </w:r>
    <w:r w:rsidR="00FE00AD" w:rsidRPr="00971E07">
      <w:rPr>
        <w:sz w:val="20"/>
        <w:szCs w:val="20"/>
      </w:rPr>
      <w:t xml:space="preserve"> </w:t>
    </w:r>
    <w:r w:rsidR="00792722">
      <w:rPr>
        <w:sz w:val="20"/>
        <w:szCs w:val="20"/>
      </w:rPr>
      <w:t xml:space="preserve">8 de abril </w:t>
    </w:r>
    <w:r w:rsidR="00FE00AD" w:rsidRPr="00971E07">
      <w:rPr>
        <w:sz w:val="20"/>
        <w:szCs w:val="20"/>
      </w:rPr>
      <w:t>de 20</w:t>
    </w:r>
    <w:r w:rsidR="00E16E01" w:rsidRPr="00971E07">
      <w:rPr>
        <w:sz w:val="20"/>
        <w:szCs w:val="20"/>
      </w:rPr>
      <w:t>1</w:t>
    </w:r>
    <w:r w:rsidR="00792722">
      <w:rPr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792722">
      <w:rPr>
        <w:b/>
        <w:sz w:val="40"/>
        <w:szCs w:val="40"/>
      </w:rPr>
      <w:t>4</w:t>
    </w:r>
    <w:r w:rsidR="00AE5EDF" w:rsidRPr="002168DE">
      <w:rPr>
        <w:b/>
        <w:sz w:val="40"/>
        <w:szCs w:val="40"/>
      </w:rPr>
      <w:t>1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792722">
      <w:rPr>
        <w:i/>
        <w:iCs/>
      </w:rPr>
      <w:t>2</w:t>
    </w:r>
    <w:r w:rsidR="00FE00AD" w:rsidRPr="005D1DE4">
      <w:rPr>
        <w:i/>
        <w:iCs/>
      </w:rPr>
      <w:t xml:space="preserve"> a </w:t>
    </w:r>
    <w:r w:rsidR="00792722">
      <w:rPr>
        <w:i/>
        <w:iCs/>
      </w:rPr>
      <w:t>8</w:t>
    </w:r>
    <w:r w:rsidR="00FE00AD" w:rsidRPr="005D1DE4">
      <w:rPr>
        <w:i/>
        <w:iCs/>
      </w:rPr>
      <w:t xml:space="preserve"> de </w:t>
    </w:r>
    <w:r w:rsidR="00792722">
      <w:rPr>
        <w:i/>
        <w:iCs/>
      </w:rPr>
      <w:t xml:space="preserve">abril </w:t>
    </w:r>
    <w:r w:rsidR="00FE00AD" w:rsidRPr="005D1DE4">
      <w:rPr>
        <w:i/>
        <w:iCs/>
      </w:rPr>
      <w:t>de 201</w:t>
    </w:r>
    <w:r w:rsidR="00792722">
      <w:rPr>
        <w:i/>
        <w:iCs/>
      </w:rPr>
      <w:t>3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28E6"/>
    <w:rsid w:val="00032056"/>
    <w:rsid w:val="000322FB"/>
    <w:rsid w:val="000425FC"/>
    <w:rsid w:val="00050E85"/>
    <w:rsid w:val="00056752"/>
    <w:rsid w:val="00057B87"/>
    <w:rsid w:val="0006020E"/>
    <w:rsid w:val="000733B4"/>
    <w:rsid w:val="00073880"/>
    <w:rsid w:val="00075BDB"/>
    <w:rsid w:val="00080F10"/>
    <w:rsid w:val="0009237D"/>
    <w:rsid w:val="00093AE9"/>
    <w:rsid w:val="00093BA8"/>
    <w:rsid w:val="000A04E6"/>
    <w:rsid w:val="000B4D41"/>
    <w:rsid w:val="000B67DF"/>
    <w:rsid w:val="000B7CDE"/>
    <w:rsid w:val="000C3022"/>
    <w:rsid w:val="000C672B"/>
    <w:rsid w:val="000E0A91"/>
    <w:rsid w:val="0011575C"/>
    <w:rsid w:val="0011692E"/>
    <w:rsid w:val="00137564"/>
    <w:rsid w:val="00137DC1"/>
    <w:rsid w:val="0015612D"/>
    <w:rsid w:val="00176D15"/>
    <w:rsid w:val="00184590"/>
    <w:rsid w:val="00187A37"/>
    <w:rsid w:val="0019151D"/>
    <w:rsid w:val="00193208"/>
    <w:rsid w:val="001C04D2"/>
    <w:rsid w:val="001C271F"/>
    <w:rsid w:val="001C6C93"/>
    <w:rsid w:val="001D4CF9"/>
    <w:rsid w:val="001D5AB0"/>
    <w:rsid w:val="001D757D"/>
    <w:rsid w:val="001E14BB"/>
    <w:rsid w:val="001E4B57"/>
    <w:rsid w:val="001E5BD1"/>
    <w:rsid w:val="001E713B"/>
    <w:rsid w:val="001F030F"/>
    <w:rsid w:val="00206810"/>
    <w:rsid w:val="002168DE"/>
    <w:rsid w:val="00224AC2"/>
    <w:rsid w:val="0023559D"/>
    <w:rsid w:val="002402B0"/>
    <w:rsid w:val="002449F9"/>
    <w:rsid w:val="002635ED"/>
    <w:rsid w:val="002662BA"/>
    <w:rsid w:val="00266D49"/>
    <w:rsid w:val="00271C5C"/>
    <w:rsid w:val="00271E67"/>
    <w:rsid w:val="002730B5"/>
    <w:rsid w:val="00280594"/>
    <w:rsid w:val="00285064"/>
    <w:rsid w:val="002A219D"/>
    <w:rsid w:val="002A546D"/>
    <w:rsid w:val="002B4738"/>
    <w:rsid w:val="002B6377"/>
    <w:rsid w:val="002C2904"/>
    <w:rsid w:val="002E78CB"/>
    <w:rsid w:val="0033397A"/>
    <w:rsid w:val="00352B27"/>
    <w:rsid w:val="0036325E"/>
    <w:rsid w:val="003671FE"/>
    <w:rsid w:val="003708FD"/>
    <w:rsid w:val="0037667D"/>
    <w:rsid w:val="00384075"/>
    <w:rsid w:val="003908C5"/>
    <w:rsid w:val="00396053"/>
    <w:rsid w:val="003A4086"/>
    <w:rsid w:val="003A5E5B"/>
    <w:rsid w:val="003B045C"/>
    <w:rsid w:val="003B0A59"/>
    <w:rsid w:val="003B3EB5"/>
    <w:rsid w:val="003B4E23"/>
    <w:rsid w:val="003B767E"/>
    <w:rsid w:val="003C6FE7"/>
    <w:rsid w:val="003D032E"/>
    <w:rsid w:val="003D4205"/>
    <w:rsid w:val="003F2078"/>
    <w:rsid w:val="0042772A"/>
    <w:rsid w:val="004323B0"/>
    <w:rsid w:val="00444E88"/>
    <w:rsid w:val="0045657C"/>
    <w:rsid w:val="004655CC"/>
    <w:rsid w:val="00466DB9"/>
    <w:rsid w:val="00486521"/>
    <w:rsid w:val="00486DFC"/>
    <w:rsid w:val="004922D6"/>
    <w:rsid w:val="004A14FC"/>
    <w:rsid w:val="004A5264"/>
    <w:rsid w:val="004B21AD"/>
    <w:rsid w:val="004C011C"/>
    <w:rsid w:val="004C14EA"/>
    <w:rsid w:val="004C2118"/>
    <w:rsid w:val="004C2612"/>
    <w:rsid w:val="004D6000"/>
    <w:rsid w:val="004D6415"/>
    <w:rsid w:val="004D71E8"/>
    <w:rsid w:val="004E393E"/>
    <w:rsid w:val="004E4507"/>
    <w:rsid w:val="004E4619"/>
    <w:rsid w:val="004F0A7D"/>
    <w:rsid w:val="0051538E"/>
    <w:rsid w:val="00517E01"/>
    <w:rsid w:val="00521EEC"/>
    <w:rsid w:val="005460BD"/>
    <w:rsid w:val="00553197"/>
    <w:rsid w:val="0055409E"/>
    <w:rsid w:val="00556367"/>
    <w:rsid w:val="00556B35"/>
    <w:rsid w:val="00573E13"/>
    <w:rsid w:val="00584F82"/>
    <w:rsid w:val="00591DFA"/>
    <w:rsid w:val="005A5695"/>
    <w:rsid w:val="005B2F00"/>
    <w:rsid w:val="005B57DE"/>
    <w:rsid w:val="005C1886"/>
    <w:rsid w:val="005C761E"/>
    <w:rsid w:val="005D0E5F"/>
    <w:rsid w:val="005D1DE4"/>
    <w:rsid w:val="005E35BD"/>
    <w:rsid w:val="005E3D4D"/>
    <w:rsid w:val="005E7FD1"/>
    <w:rsid w:val="005F2858"/>
    <w:rsid w:val="006002E3"/>
    <w:rsid w:val="006145AC"/>
    <w:rsid w:val="00615F98"/>
    <w:rsid w:val="00621F9C"/>
    <w:rsid w:val="00631166"/>
    <w:rsid w:val="00631F1C"/>
    <w:rsid w:val="006366A4"/>
    <w:rsid w:val="006456B1"/>
    <w:rsid w:val="006564EC"/>
    <w:rsid w:val="0066084C"/>
    <w:rsid w:val="00672CF9"/>
    <w:rsid w:val="00672E11"/>
    <w:rsid w:val="0068273B"/>
    <w:rsid w:val="00691234"/>
    <w:rsid w:val="006931CC"/>
    <w:rsid w:val="006947F2"/>
    <w:rsid w:val="00697919"/>
    <w:rsid w:val="006A5668"/>
    <w:rsid w:val="006B3FCF"/>
    <w:rsid w:val="006B46CA"/>
    <w:rsid w:val="006C0391"/>
    <w:rsid w:val="006C28B3"/>
    <w:rsid w:val="006D1F66"/>
    <w:rsid w:val="006D306E"/>
    <w:rsid w:val="006D4497"/>
    <w:rsid w:val="006F6C15"/>
    <w:rsid w:val="0070727E"/>
    <w:rsid w:val="00710D3A"/>
    <w:rsid w:val="0071315F"/>
    <w:rsid w:val="00721942"/>
    <w:rsid w:val="00722BE7"/>
    <w:rsid w:val="00732DF2"/>
    <w:rsid w:val="007614F1"/>
    <w:rsid w:val="007618C5"/>
    <w:rsid w:val="00764066"/>
    <w:rsid w:val="00776118"/>
    <w:rsid w:val="00792722"/>
    <w:rsid w:val="007B0F83"/>
    <w:rsid w:val="007D29A1"/>
    <w:rsid w:val="007E0EA7"/>
    <w:rsid w:val="007E3F23"/>
    <w:rsid w:val="007F142E"/>
    <w:rsid w:val="007F7B5E"/>
    <w:rsid w:val="00802B1A"/>
    <w:rsid w:val="0080615C"/>
    <w:rsid w:val="0081027F"/>
    <w:rsid w:val="0081742D"/>
    <w:rsid w:val="00821F4D"/>
    <w:rsid w:val="00823906"/>
    <w:rsid w:val="008409D3"/>
    <w:rsid w:val="00845559"/>
    <w:rsid w:val="00854DB8"/>
    <w:rsid w:val="00854EF2"/>
    <w:rsid w:val="00863B86"/>
    <w:rsid w:val="00871F69"/>
    <w:rsid w:val="008842D0"/>
    <w:rsid w:val="00884AC4"/>
    <w:rsid w:val="0088579D"/>
    <w:rsid w:val="008A7953"/>
    <w:rsid w:val="008B3081"/>
    <w:rsid w:val="008B32D4"/>
    <w:rsid w:val="008D0020"/>
    <w:rsid w:val="008D3C38"/>
    <w:rsid w:val="008D6A05"/>
    <w:rsid w:val="008E2AE5"/>
    <w:rsid w:val="008E3F89"/>
    <w:rsid w:val="008F26CB"/>
    <w:rsid w:val="008F6509"/>
    <w:rsid w:val="008F79D9"/>
    <w:rsid w:val="009027C8"/>
    <w:rsid w:val="0093467A"/>
    <w:rsid w:val="0094155C"/>
    <w:rsid w:val="00951531"/>
    <w:rsid w:val="00960A3B"/>
    <w:rsid w:val="00967DE0"/>
    <w:rsid w:val="00971E07"/>
    <w:rsid w:val="00980944"/>
    <w:rsid w:val="00986D77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21A2"/>
    <w:rsid w:val="00A32FBF"/>
    <w:rsid w:val="00A407EA"/>
    <w:rsid w:val="00A51749"/>
    <w:rsid w:val="00A521B6"/>
    <w:rsid w:val="00A56962"/>
    <w:rsid w:val="00A6412C"/>
    <w:rsid w:val="00A75419"/>
    <w:rsid w:val="00A76661"/>
    <w:rsid w:val="00A76D2A"/>
    <w:rsid w:val="00A82081"/>
    <w:rsid w:val="00A8557E"/>
    <w:rsid w:val="00A91181"/>
    <w:rsid w:val="00A935AC"/>
    <w:rsid w:val="00AB299E"/>
    <w:rsid w:val="00AB507C"/>
    <w:rsid w:val="00AD6E76"/>
    <w:rsid w:val="00AE3EAA"/>
    <w:rsid w:val="00AE5EDF"/>
    <w:rsid w:val="00B14F7F"/>
    <w:rsid w:val="00B16EB9"/>
    <w:rsid w:val="00B22F24"/>
    <w:rsid w:val="00B22F53"/>
    <w:rsid w:val="00B24DBE"/>
    <w:rsid w:val="00B34EB2"/>
    <w:rsid w:val="00B415DC"/>
    <w:rsid w:val="00B517C3"/>
    <w:rsid w:val="00B518B2"/>
    <w:rsid w:val="00B526EA"/>
    <w:rsid w:val="00B536FE"/>
    <w:rsid w:val="00B73FFA"/>
    <w:rsid w:val="00B874F1"/>
    <w:rsid w:val="00BA604F"/>
    <w:rsid w:val="00BC1DE7"/>
    <w:rsid w:val="00BC5AEE"/>
    <w:rsid w:val="00BD6029"/>
    <w:rsid w:val="00BE0541"/>
    <w:rsid w:val="00BE1ADB"/>
    <w:rsid w:val="00C070DE"/>
    <w:rsid w:val="00C26DFB"/>
    <w:rsid w:val="00C273FA"/>
    <w:rsid w:val="00C30D06"/>
    <w:rsid w:val="00C42067"/>
    <w:rsid w:val="00C432D0"/>
    <w:rsid w:val="00C4398E"/>
    <w:rsid w:val="00C60B4A"/>
    <w:rsid w:val="00C65BDB"/>
    <w:rsid w:val="00C71A3B"/>
    <w:rsid w:val="00C76CFA"/>
    <w:rsid w:val="00C963F8"/>
    <w:rsid w:val="00C96BB1"/>
    <w:rsid w:val="00CA2F80"/>
    <w:rsid w:val="00CB0C2A"/>
    <w:rsid w:val="00CC4B2B"/>
    <w:rsid w:val="00CC579C"/>
    <w:rsid w:val="00CC5F5F"/>
    <w:rsid w:val="00CD3460"/>
    <w:rsid w:val="00CD4B61"/>
    <w:rsid w:val="00CD5043"/>
    <w:rsid w:val="00CE2928"/>
    <w:rsid w:val="00CE314A"/>
    <w:rsid w:val="00D01C50"/>
    <w:rsid w:val="00D11B24"/>
    <w:rsid w:val="00D133C8"/>
    <w:rsid w:val="00D14DB8"/>
    <w:rsid w:val="00D244D5"/>
    <w:rsid w:val="00D2776A"/>
    <w:rsid w:val="00D413DB"/>
    <w:rsid w:val="00D420E2"/>
    <w:rsid w:val="00D4459D"/>
    <w:rsid w:val="00D573F9"/>
    <w:rsid w:val="00D6058B"/>
    <w:rsid w:val="00D63EC5"/>
    <w:rsid w:val="00D72C05"/>
    <w:rsid w:val="00D847CF"/>
    <w:rsid w:val="00DA0A99"/>
    <w:rsid w:val="00DA7603"/>
    <w:rsid w:val="00DA7E39"/>
    <w:rsid w:val="00DA7EDE"/>
    <w:rsid w:val="00DC0AB5"/>
    <w:rsid w:val="00DC50EB"/>
    <w:rsid w:val="00DD3FA0"/>
    <w:rsid w:val="00DE5B2D"/>
    <w:rsid w:val="00DE5CE9"/>
    <w:rsid w:val="00E03064"/>
    <w:rsid w:val="00E04BD5"/>
    <w:rsid w:val="00E070D2"/>
    <w:rsid w:val="00E1539C"/>
    <w:rsid w:val="00E162B6"/>
    <w:rsid w:val="00E16E01"/>
    <w:rsid w:val="00E24A50"/>
    <w:rsid w:val="00E35639"/>
    <w:rsid w:val="00E432CC"/>
    <w:rsid w:val="00E50711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7A09"/>
    <w:rsid w:val="00EC5AF4"/>
    <w:rsid w:val="00ED661C"/>
    <w:rsid w:val="00EE32F1"/>
    <w:rsid w:val="00EE41B5"/>
    <w:rsid w:val="00EE66C9"/>
    <w:rsid w:val="00EF11A9"/>
    <w:rsid w:val="00EF38E1"/>
    <w:rsid w:val="00EF749A"/>
    <w:rsid w:val="00EF771E"/>
    <w:rsid w:val="00F02565"/>
    <w:rsid w:val="00F05542"/>
    <w:rsid w:val="00F17A2C"/>
    <w:rsid w:val="00F26708"/>
    <w:rsid w:val="00F511EE"/>
    <w:rsid w:val="00F558E7"/>
    <w:rsid w:val="00F62016"/>
    <w:rsid w:val="00F63F44"/>
    <w:rsid w:val="00F6746D"/>
    <w:rsid w:val="00F811CD"/>
    <w:rsid w:val="00F82D8F"/>
    <w:rsid w:val="00F83F62"/>
    <w:rsid w:val="00F9711D"/>
    <w:rsid w:val="00FA75E0"/>
    <w:rsid w:val="00FB20B1"/>
    <w:rsid w:val="00FB3AB4"/>
    <w:rsid w:val="00FC56A4"/>
    <w:rsid w:val="00FD3D06"/>
    <w:rsid w:val="00FD5662"/>
    <w:rsid w:val="00FD72B6"/>
    <w:rsid w:val="00FE00AD"/>
    <w:rsid w:val="00FE499F"/>
    <w:rsid w:val="00FE5EB1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99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ao5.tst.jus.br/consultaProcessual/consultaTstNumUnica.do?consulta=Consultar&amp;conscsjt=&amp;numeroTst=10575&amp;digitoTst=04&amp;anoTst=2010&amp;orgaoTst=5&amp;tribunalTst=07&amp;varaTst=0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cacao5.tst.jus.br/consultaProcessual/consultaTstNumUnica.do?consulta=Consultar&amp;conscsjt=&amp;numeroTst=946&amp;digitoTst=26&amp;anoTst=2011&amp;orgaoTst=5&amp;tribunalTst=05&amp;varaTst=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licacao5.tst.jus.br/consultaProcessual/consultaTstNumUnica.do?consulta=Consultar&amp;conscsjt=&amp;numeroTst=129600&amp;digitoTst=12&amp;anoTst=2006&amp;orgaoTst=5&amp;tribunalTst=02&amp;varaTst=0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ao5.tst.jus.br/consultaProcessual/consultaTstNumUnica.do?consulta=Consultar&amp;conscsjt=&amp;numeroTst=93400&amp;digitoTst=11&amp;anoTst=2001&amp;orgaoTst=5&amp;tribunalTst=02&amp;varaTst=004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AB19-8346-41F7-8CDD-4AFB5D4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6435</CharactersWithSpaces>
  <SharedDoc>false</SharedDoc>
  <HLinks>
    <vt:vector size="24" baseType="variant">
      <vt:variant>
        <vt:i4>2818098</vt:i4>
      </vt:variant>
      <vt:variant>
        <vt:i4>9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https://aplicacao5.tst.jus.br/consultaProcessual/consultaTstNumUnica.do?consulta=Consultar&amp;conscsjt=&amp;numeroTst=946&amp;digitoTst=26&amp;anoTst=2011&amp;orgaoTst=5&amp;tribunalTst=05&amp;varaTst=0000</vt:lpwstr>
      </vt:variant>
      <vt:variant>
        <vt:lpwstr/>
      </vt:variant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https://aplicacao5.tst.jus.br/consultaProcessual/consultaTstNumUnica.do?consulta=Consultar&amp;conscsjt=&amp;numeroTst=129600&amp;digitoTst=12&amp;anoTst=2006&amp;orgaoTst=5&amp;tribunalTst=02&amp;varaTst=0090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https://aplicacao5.tst.jus.br/consultaProcessual/consultaTstNumUnica.do?consulta=Consultar&amp;conscsjt=&amp;numeroTst=93400&amp;digitoTst=11&amp;anoTst=2001&amp;orgaoTst=5&amp;tribunalTst=02&amp;varaTst=0048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https://aplicacao5.tst.jus.br/consultaProcessual/consultaTstNumUnica.do?consulta=Consultar&amp;conscsjt=&amp;numeroTst=10575&amp;digitoTst=04&amp;anoTst=2010&amp;orgaoTst=5&amp;tribunalTst=07&amp;varaTst=0000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2012-03-09T15:01:00Z</cp:lastPrinted>
  <dcterms:created xsi:type="dcterms:W3CDTF">2018-06-27T21:44:00Z</dcterms:created>
  <dcterms:modified xsi:type="dcterms:W3CDTF">2018-06-27T21:44:00Z</dcterms:modified>
</cp:coreProperties>
</file>