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3A56D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3375BB" w:rsidRPr="003375BB" w:rsidRDefault="003375BB" w:rsidP="003375BB">
      <w:pPr>
        <w:jc w:val="both"/>
        <w:rPr>
          <w:b/>
          <w:i/>
          <w:sz w:val="24"/>
          <w:szCs w:val="24"/>
        </w:rPr>
      </w:pPr>
      <w:r w:rsidRPr="003375BB">
        <w:rPr>
          <w:b/>
          <w:i/>
          <w:sz w:val="24"/>
          <w:szCs w:val="24"/>
        </w:rPr>
        <w:t>Dano moral. Divulgação da lista nominal dos servidores públicos e da correspondente remuneração mensal na internet. Prevalência do princípio da publicidade dos atos administrativos em detrimento do direito à intimidade, à privacidade e à segurança do empregado público.</w:t>
      </w:r>
    </w:p>
    <w:p w:rsidR="003375BB" w:rsidRPr="003375BB" w:rsidRDefault="003375BB" w:rsidP="003375BB">
      <w:pPr>
        <w:jc w:val="both"/>
        <w:rPr>
          <w:sz w:val="24"/>
          <w:szCs w:val="24"/>
        </w:rPr>
      </w:pPr>
      <w:r w:rsidRPr="003375BB">
        <w:rPr>
          <w:sz w:val="24"/>
          <w:szCs w:val="24"/>
        </w:rPr>
        <w:t>A divulgação, na internet, da lista dos cargos ocupados e dos valores da remuneração mensal pagos ao servidor público não configura dano moral, pois o princípio da publicidade dos atos administrativos deve prevalecer sobre o direito à intimidade, à privacidade e à segurança do agente público, conforme decidido pelo Tribunal Pleno do STF nos autos do processo nº SS- 3902-AgR-segundo/SP, rel. Min. Ayres Britto. Com esse entendimento, a SBDI-I, por unanimidade, conheceu dos embargos, por divergência jurisprudencial, e, no mérito, negou-lhes provimento, mantendo decisão da Turma que excluiu da condenação o pagamento de indenização por danos morais decorrentes da disponibilização no sítio da Administração dos Portos de Paranaguá e Antonina – APPA, na internet, de relação com nomes, cargos e remunerações de seus empregados</w:t>
      </w:r>
      <w:hyperlink r:id="rId8" w:history="1">
        <w:r w:rsidRPr="00201187">
          <w:rPr>
            <w:rStyle w:val="Hyperlink"/>
            <w:sz w:val="24"/>
            <w:szCs w:val="24"/>
          </w:rPr>
          <w:t>. TST-E-RR-336000-02.2008.5.09.0411</w:t>
        </w:r>
      </w:hyperlink>
      <w:r w:rsidR="00201187">
        <w:rPr>
          <w:sz w:val="24"/>
          <w:szCs w:val="24"/>
        </w:rPr>
        <w:t>,</w:t>
      </w:r>
      <w:r w:rsidRPr="003375BB">
        <w:rPr>
          <w:sz w:val="24"/>
          <w:szCs w:val="24"/>
          <w:u w:val="single"/>
        </w:rPr>
        <w:t xml:space="preserve"> S</w:t>
      </w:r>
      <w:r w:rsidR="00201187">
        <w:rPr>
          <w:sz w:val="24"/>
          <w:szCs w:val="24"/>
          <w:u w:val="single"/>
        </w:rPr>
        <w:t>B</w:t>
      </w:r>
      <w:r w:rsidRPr="003375BB">
        <w:rPr>
          <w:sz w:val="24"/>
          <w:szCs w:val="24"/>
          <w:u w:val="single"/>
        </w:rPr>
        <w:t>DI-I, rel.</w:t>
      </w:r>
      <w:r w:rsidR="00201187">
        <w:rPr>
          <w:sz w:val="24"/>
          <w:szCs w:val="24"/>
          <w:u w:val="single"/>
        </w:rPr>
        <w:t xml:space="preserve"> Min.</w:t>
      </w:r>
      <w:r w:rsidRPr="003375BB">
        <w:rPr>
          <w:sz w:val="24"/>
          <w:szCs w:val="24"/>
          <w:u w:val="single"/>
        </w:rPr>
        <w:t xml:space="preserve"> Augusto César Leite de Carvalho, 21.3.2013</w:t>
      </w:r>
    </w:p>
    <w:p w:rsidR="002C2904" w:rsidRPr="005D1DE4" w:rsidRDefault="002C2904" w:rsidP="002C2904">
      <w:pPr>
        <w:ind w:right="-567"/>
        <w:jc w:val="both"/>
        <w:rPr>
          <w:sz w:val="10"/>
          <w:szCs w:val="10"/>
        </w:rPr>
      </w:pPr>
    </w:p>
    <w:p w:rsidR="00302B4A" w:rsidRPr="00302B4A" w:rsidRDefault="00302B4A" w:rsidP="00302B4A">
      <w:pPr>
        <w:jc w:val="both"/>
        <w:rPr>
          <w:b/>
          <w:i/>
          <w:sz w:val="24"/>
          <w:szCs w:val="24"/>
        </w:rPr>
      </w:pPr>
      <w:r w:rsidRPr="00302B4A">
        <w:rPr>
          <w:b/>
          <w:i/>
          <w:sz w:val="24"/>
          <w:szCs w:val="24"/>
        </w:rPr>
        <w:t xml:space="preserve">Agravo de instrumento que corre junto a recurso de revista. Ausência de cópia da certidão de publicação do acórdão do Regional. Peça que se encontra nos autos do processo principal. Deficiência de traslado. Configuração. </w:t>
      </w:r>
    </w:p>
    <w:p w:rsidR="00302B4A" w:rsidRPr="00302B4A" w:rsidRDefault="00302B4A" w:rsidP="00302B4A">
      <w:pPr>
        <w:jc w:val="both"/>
        <w:rPr>
          <w:sz w:val="24"/>
          <w:szCs w:val="24"/>
        </w:rPr>
      </w:pPr>
      <w:r w:rsidRPr="00302B4A">
        <w:rPr>
          <w:sz w:val="24"/>
          <w:szCs w:val="24"/>
        </w:rPr>
        <w:t xml:space="preserve">O fato de o agravo de instrumento, interposto anteriormente à vigência da Resolução Administrativa n° 1.418/2010, correr junto com o processo principal não afasta a responsabilidade de a parte trasladar todas as peças necessárias e essenciais à formação do instrumento, mesmo na hipótese em que a certidão de publicação do acórdão do Regional proferido em sede de recurso ordinário, apta a comprovar a tempestividade do recurso de revista, se encontrar no processo ao qual corre junto o agravo de instrumento. Cabe ao agravante zelar pela higidez da formação do instrumento, especialmente porque os processos que tramitam paralelamente são distintos e independentes, não havendo qualquer relação de subordinação entre eles que autorize o saneamento de vício referente à regularidade do traslado. Com esse entendimento, e aplicando por analogia a Orientação Jurisprudencial nº 110 da SBDI-I, a referida Subseção, por unanimidade, conheceu dos embargos por divergência jurisprudencial, e, no mérito, por maioria, negou-lhes provimento. Vencidos os Ministros João Oreste Dalazen, Lelio Bentes Corrêa e Delaíde Miranda Arantes. </w:t>
      </w:r>
      <w:hyperlink r:id="rId9" w:history="1">
        <w:r w:rsidRPr="00520A0B">
          <w:rPr>
            <w:rStyle w:val="Hyperlink"/>
            <w:sz w:val="24"/>
            <w:szCs w:val="24"/>
          </w:rPr>
          <w:t>TST-E-ED-AIRR-13204-32.2010.5.04.0000</w:t>
        </w:r>
      </w:hyperlink>
      <w:r w:rsidRPr="00302B4A">
        <w:rPr>
          <w:sz w:val="24"/>
          <w:szCs w:val="24"/>
          <w:u w:val="single"/>
        </w:rPr>
        <w:t>, SBDI-I, rel. Min. Dora Maria da Costa, 21.3.2013</w:t>
      </w:r>
    </w:p>
    <w:p w:rsidR="00B14F7F" w:rsidRPr="005D1DE4" w:rsidRDefault="00B14F7F" w:rsidP="000C3022">
      <w:pPr>
        <w:ind w:right="-567"/>
        <w:jc w:val="both"/>
        <w:rPr>
          <w:b/>
          <w:i/>
          <w:sz w:val="10"/>
          <w:szCs w:val="10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5D1DE4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632E50" w:rsidRPr="000512CF" w:rsidRDefault="00632E50" w:rsidP="00632E50">
      <w:pPr>
        <w:jc w:val="both"/>
        <w:rPr>
          <w:b/>
          <w:i/>
          <w:sz w:val="24"/>
          <w:szCs w:val="24"/>
        </w:rPr>
      </w:pPr>
      <w:r w:rsidRPr="000512CF">
        <w:rPr>
          <w:b/>
          <w:i/>
          <w:sz w:val="24"/>
          <w:szCs w:val="24"/>
        </w:rPr>
        <w:t xml:space="preserve">Ação rescisória. Não cabimento. Decisão que extingue o feito, sem resolução de mérito, por </w:t>
      </w:r>
      <w:r>
        <w:rPr>
          <w:b/>
          <w:i/>
          <w:sz w:val="24"/>
          <w:szCs w:val="24"/>
        </w:rPr>
        <w:t>falta</w:t>
      </w:r>
      <w:r w:rsidRPr="000512CF">
        <w:rPr>
          <w:b/>
          <w:i/>
          <w:sz w:val="24"/>
          <w:szCs w:val="24"/>
        </w:rPr>
        <w:t xml:space="preserve"> de pr</w:t>
      </w:r>
      <w:r>
        <w:rPr>
          <w:b/>
          <w:i/>
          <w:sz w:val="24"/>
          <w:szCs w:val="24"/>
        </w:rPr>
        <w:t>évia submissão da demanda à Comissão de Conciliação Prévia. Ausência de decisão de mérito. Súmula nº 412 do TST. Inaplicável.</w:t>
      </w:r>
    </w:p>
    <w:p w:rsidR="00632E50" w:rsidRDefault="00632E50" w:rsidP="00632E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decisão que dá provimento ao recurso de revista para extinguir o feito, sem resolução de mérito, por ausência de </w:t>
      </w:r>
      <w:r w:rsidRPr="00C2484A">
        <w:rPr>
          <w:sz w:val="24"/>
          <w:szCs w:val="24"/>
        </w:rPr>
        <w:t>pressuposto de constituição e de desenvolvimento válido e regular do processo</w:t>
      </w:r>
      <w:r>
        <w:rPr>
          <w:sz w:val="24"/>
          <w:szCs w:val="24"/>
        </w:rPr>
        <w:t xml:space="preserve"> (art. 267, IV, do CPC), não é passível de rescisão. A Súmula nº 412 do TST, ao estabelecer que uma questão processual pode ser objeto de ação rescisória, exige que tal questão seja pressuposto de validade de uma sentença de mérito, o que não há no caso, uma vez que, ao extinguir o processo </w:t>
      </w:r>
      <w:r>
        <w:rPr>
          <w:sz w:val="24"/>
          <w:szCs w:val="24"/>
        </w:rPr>
        <w:lastRenderedPageBreak/>
        <w:t xml:space="preserve">sem resolução de mérito, por falta de prévia submissão da demanda à Comissão de Conciliação Prévia - CCP de que trata o art. 625-D da CLT, o órgão prolator da decisão rescindenda não adentrou a matéria de fundo. Com esses fundamentos, a SBDI-II, por maioria, extinguiu o processo sem exame do mérito, </w:t>
      </w:r>
      <w:r w:rsidRPr="006272EE">
        <w:rPr>
          <w:sz w:val="24"/>
          <w:szCs w:val="24"/>
        </w:rPr>
        <w:t>em razão de não haver coisa julgada material</w:t>
      </w:r>
      <w:r>
        <w:rPr>
          <w:sz w:val="24"/>
          <w:szCs w:val="24"/>
        </w:rPr>
        <w:t>. Vencido o Ministro Pedro Paulo Manus, r</w:t>
      </w:r>
      <w:r w:rsidRPr="006272EE">
        <w:rPr>
          <w:sz w:val="24"/>
          <w:szCs w:val="24"/>
        </w:rPr>
        <w:t>elator</w:t>
      </w:r>
      <w:r>
        <w:rPr>
          <w:sz w:val="24"/>
          <w:szCs w:val="24"/>
        </w:rPr>
        <w:t xml:space="preserve">, que entendia cabível a pretensão rescisória. </w:t>
      </w:r>
      <w:hyperlink r:id="rId10" w:history="1">
        <w:r w:rsidRPr="00520A0B">
          <w:rPr>
            <w:rStyle w:val="Hyperlink"/>
            <w:sz w:val="24"/>
            <w:szCs w:val="24"/>
          </w:rPr>
          <w:t>TST-AR-4494-97.2011.5.00.0000</w:t>
        </w:r>
      </w:hyperlink>
      <w:r w:rsidRPr="00F013F4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F013F4">
        <w:rPr>
          <w:sz w:val="24"/>
          <w:szCs w:val="24"/>
          <w:u w:val="single"/>
        </w:rPr>
        <w:t>I,</w:t>
      </w:r>
      <w:r>
        <w:rPr>
          <w:sz w:val="24"/>
          <w:szCs w:val="24"/>
          <w:u w:val="single"/>
        </w:rPr>
        <w:t xml:space="preserve"> rel. Min. Pedro Paulo Manus, </w:t>
      </w:r>
      <w:r w:rsidRPr="00F013F4">
        <w:rPr>
          <w:sz w:val="24"/>
          <w:szCs w:val="24"/>
          <w:u w:val="single"/>
        </w:rPr>
        <w:t>re</w:t>
      </w:r>
      <w:r>
        <w:rPr>
          <w:sz w:val="24"/>
          <w:szCs w:val="24"/>
          <w:u w:val="single"/>
        </w:rPr>
        <w:t>d</w:t>
      </w:r>
      <w:r w:rsidRPr="00F013F4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p/ acórdão </w:t>
      </w:r>
      <w:r w:rsidRPr="00F013F4">
        <w:rPr>
          <w:sz w:val="24"/>
          <w:szCs w:val="24"/>
          <w:u w:val="single"/>
        </w:rPr>
        <w:t xml:space="preserve">Min. </w:t>
      </w:r>
      <w:r w:rsidRPr="00B617B4">
        <w:rPr>
          <w:sz w:val="24"/>
          <w:szCs w:val="24"/>
          <w:u w:val="single"/>
        </w:rPr>
        <w:t xml:space="preserve">Hugo </w:t>
      </w:r>
      <w:r>
        <w:rPr>
          <w:sz w:val="24"/>
          <w:szCs w:val="24"/>
          <w:u w:val="single"/>
        </w:rPr>
        <w:t xml:space="preserve">Carlos </w:t>
      </w:r>
      <w:r w:rsidRPr="00B617B4">
        <w:rPr>
          <w:sz w:val="24"/>
          <w:szCs w:val="24"/>
          <w:u w:val="single"/>
        </w:rPr>
        <w:t>Scheuermann</w:t>
      </w:r>
      <w:r>
        <w:rPr>
          <w:sz w:val="24"/>
          <w:szCs w:val="24"/>
          <w:u w:val="single"/>
        </w:rPr>
        <w:t>,12.3.2013</w:t>
      </w:r>
    </w:p>
    <w:p w:rsidR="00632E50" w:rsidRPr="005D1DE4" w:rsidRDefault="00632E50" w:rsidP="00632E50">
      <w:pPr>
        <w:jc w:val="both"/>
      </w:pP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A1" w:rsidRDefault="00DB6BA1">
      <w:r>
        <w:separator/>
      </w:r>
    </w:p>
  </w:endnote>
  <w:endnote w:type="continuationSeparator" w:id="0">
    <w:p w:rsidR="00DB6BA1" w:rsidRDefault="00DB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A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0B377B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A1" w:rsidRDefault="00DB6BA1">
      <w:r>
        <w:separator/>
      </w:r>
    </w:p>
  </w:footnote>
  <w:footnote w:type="continuationSeparator" w:id="0">
    <w:p w:rsidR="00DB6BA1" w:rsidRDefault="00DB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3A56D4">
      <w:rPr>
        <w:shadow/>
        <w:sz w:val="24"/>
        <w:szCs w:val="24"/>
      </w:rPr>
      <w:t>40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</w:t>
    </w:r>
    <w:r w:rsidR="003A56D4">
      <w:rPr>
        <w:sz w:val="20"/>
        <w:szCs w:val="20"/>
      </w:rPr>
      <w:t>2 de março a 1º de abril de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3A56D4">
      <w:rPr>
        <w:b/>
        <w:sz w:val="40"/>
        <w:szCs w:val="40"/>
      </w:rPr>
      <w:t>40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056752" w:rsidRPr="005D1DE4">
      <w:rPr>
        <w:i/>
        <w:iCs/>
      </w:rPr>
      <w:t>1</w:t>
    </w:r>
    <w:r w:rsidR="003A56D4">
      <w:rPr>
        <w:i/>
        <w:iCs/>
      </w:rPr>
      <w:t>2 de março a 1º de abril d</w:t>
    </w:r>
    <w:r w:rsidR="00FE00AD" w:rsidRPr="005D1DE4">
      <w:rPr>
        <w:i/>
        <w:iCs/>
      </w:rPr>
      <w:t>e 201</w:t>
    </w:r>
    <w:r w:rsidR="003A56D4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377B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1187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02B4A"/>
    <w:rsid w:val="0033397A"/>
    <w:rsid w:val="003375BB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6D4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0A0B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2E50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3B1C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B6BA1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336000&amp;digitoTst=02&amp;anoTst=2008&amp;orgaoTst=5&amp;tribunalTst=09&amp;varaTst=041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4494&amp;digitoTst=97&amp;anoTst=2011&amp;orgaoTst=5&amp;tribunalTst=00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3204&amp;digitoTst=32&amp;anoTst=2010&amp;orgaoTst=5&amp;tribunalTst=04&amp;varaTst=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0165-296C-4E53-B406-6C4274E9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5094</CharactersWithSpaces>
  <SharedDoc>false</SharedDoc>
  <HLinks>
    <vt:vector size="18" baseType="variant">
      <vt:variant>
        <vt:i4>6291568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https://aplicacao5.tst.jus.br/consultaProcessual/consultaTstNumUnica.do?consulta=Consultar&amp;conscsjt=&amp;numeroTst=4494&amp;digitoTst=97&amp;anoTst=2011&amp;orgaoTst=5&amp;tribunalTst=00&amp;varaTst=0000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https://aplicacao5.tst.jus.br/consultaProcessual/consultaTstNumUnica.do?consulta=Consultar&amp;conscsjt=&amp;numeroTst=13204&amp;digitoTst=32&amp;anoTst=2010&amp;orgaoTst=5&amp;tribunalTst=04&amp;varaTst=0000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https://aplicacao5.tst.jus.br/consultaProcessual/consultaTstNumUnica.do?consulta=Consultar&amp;conscsjt=&amp;numeroTst=336000&amp;digitoTst=02&amp;anoTst=2008&amp;orgaoTst=5&amp;tribunalTst=09&amp;varaTst=0411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