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49" w:rsidRDefault="00A51749">
      <w:bookmarkStart w:id="0" w:name="_GoBack"/>
      <w:bookmarkEnd w:id="0"/>
    </w:p>
    <w:tbl>
      <w:tblPr>
        <w:tblW w:w="9709" w:type="dxa"/>
        <w:tblInd w:w="70" w:type="dxa"/>
        <w:tblLayout w:type="fixed"/>
        <w:tblCellMar>
          <w:left w:w="70" w:type="dxa"/>
          <w:right w:w="70" w:type="dxa"/>
        </w:tblCellMar>
        <w:tblLook w:val="0000" w:firstRow="0" w:lastRow="0" w:firstColumn="0" w:lastColumn="0" w:noHBand="0" w:noVBand="0"/>
      </w:tblPr>
      <w:tblGrid>
        <w:gridCol w:w="9709"/>
      </w:tblGrid>
      <w:tr w:rsidR="00C26DFB" w:rsidRPr="00187A37" w:rsidTr="00631F1C">
        <w:tblPrEx>
          <w:tblCellMar>
            <w:top w:w="0" w:type="dxa"/>
            <w:bottom w:w="0" w:type="dxa"/>
          </w:tblCellMar>
        </w:tblPrEx>
        <w:trPr>
          <w:trHeight w:val="792"/>
        </w:trPr>
        <w:tc>
          <w:tcPr>
            <w:tcW w:w="9709"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SEÇÃO ESPECIALIZADA EM DISSÍDIOS COLETIVOS</w:t>
      </w:r>
    </w:p>
    <w:p w:rsidR="00C71A3B" w:rsidRPr="005D1DE4" w:rsidRDefault="00C71A3B" w:rsidP="00F82D8F">
      <w:pPr>
        <w:pStyle w:val="Corpo"/>
        <w:spacing w:line="240" w:lineRule="auto"/>
        <w:ind w:firstLine="0"/>
        <w:rPr>
          <w:rFonts w:ascii="Times New Roman" w:hAnsi="Times New Roman" w:cs="Times New Roman"/>
          <w:b/>
          <w:bCs/>
          <w:i/>
          <w:iCs/>
          <w:sz w:val="10"/>
          <w:szCs w:val="10"/>
          <w:lang w:val="pt-BR"/>
        </w:rPr>
      </w:pPr>
    </w:p>
    <w:p w:rsidR="00EF78CF" w:rsidRDefault="00EF78CF" w:rsidP="00EF78CF">
      <w:pPr>
        <w:ind w:right="-1"/>
        <w:jc w:val="both"/>
        <w:rPr>
          <w:b/>
          <w:i/>
          <w:sz w:val="24"/>
          <w:szCs w:val="24"/>
        </w:rPr>
      </w:pPr>
      <w:r>
        <w:rPr>
          <w:b/>
          <w:i/>
          <w:sz w:val="24"/>
          <w:szCs w:val="24"/>
        </w:rPr>
        <w:t xml:space="preserve">DC. Exercício do direito de greve. Abusividade. Configuração. Comunicação apenas do “estado de greve”. Art. 13 da Lei n.º 7.783/89. Inobservância. </w:t>
      </w:r>
    </w:p>
    <w:p w:rsidR="00EF78CF" w:rsidRDefault="00EF78CF" w:rsidP="00EF78CF">
      <w:pPr>
        <w:jc w:val="both"/>
        <w:rPr>
          <w:rFonts w:ascii="Calibri" w:hAnsi="Calibri"/>
          <w:bCs/>
          <w:color w:val="000000"/>
          <w:sz w:val="22"/>
          <w:szCs w:val="22"/>
          <w:u w:val="single"/>
        </w:rPr>
      </w:pPr>
      <w:r>
        <w:rPr>
          <w:sz w:val="24"/>
          <w:szCs w:val="24"/>
        </w:rPr>
        <w:t xml:space="preserve">Tendo em conta que o art. 13 da Lei n.º 7.783/89 exige que os empregadores e a população sejam avisados, com antecedência mínima de 72 horas, da data em que concretamente terá início a greve, a SDC, por maioria, deu provimento ao recurso ordinário para declarar a abusividade do movimento paredista na hipótese em que houve apenas a comunicação da realização de assembleia deliberando pelo chamado “estado de greve” da categoria. Vencidos os Ministros Kátia Magalhães Arruda, relatora, e Mauricio Godinho Delgado, os quais mantinham a decisão do TRT, que não considerou a greve abusiva, por entender que o sindicato observou o prazo previsto no art. 13 da Lei de Greve ao emitir, com bastante antecedência, comunicado às empresas e à sociedade informando que a categoria encontrava-se em “estado de greve”, aguardando o transcurso das 72 horas exigidas por lei. </w:t>
      </w:r>
      <w:hyperlink r:id="rId8" w:history="1">
        <w:r w:rsidRPr="00EF78CF">
          <w:rPr>
            <w:rStyle w:val="Hyperlink"/>
            <w:sz w:val="24"/>
            <w:szCs w:val="24"/>
          </w:rPr>
          <w:t>TST-ReeNec-92400-15.2009.5.03.0000</w:t>
        </w:r>
      </w:hyperlink>
      <w:r w:rsidRPr="00EF78CF">
        <w:rPr>
          <w:color w:val="000000"/>
          <w:sz w:val="24"/>
          <w:szCs w:val="24"/>
          <w:u w:val="single"/>
        </w:rPr>
        <w:t xml:space="preserve">, SDC, rel. Min. </w:t>
      </w:r>
      <w:r w:rsidRPr="00EF78CF">
        <w:rPr>
          <w:bCs/>
          <w:color w:val="000000"/>
          <w:sz w:val="24"/>
          <w:szCs w:val="24"/>
          <w:u w:val="single"/>
        </w:rPr>
        <w:t>Kátia Magalhães Arruda, red. p/ acórdão Min. Fernando Eizo Ono, 9.4.2012.</w:t>
      </w:r>
    </w:p>
    <w:p w:rsidR="00C71A3B" w:rsidRPr="00EF78CF" w:rsidRDefault="00C71A3B" w:rsidP="00F82D8F">
      <w:pPr>
        <w:pStyle w:val="Corpo"/>
        <w:spacing w:line="240" w:lineRule="auto"/>
        <w:ind w:firstLine="0"/>
        <w:rPr>
          <w:rFonts w:ascii="Times New Roman" w:hAnsi="Times New Roman" w:cs="Times New Roman"/>
          <w:b/>
          <w:bCs/>
          <w:shadow/>
          <w:color w:val="auto"/>
          <w:sz w:val="10"/>
          <w:szCs w:val="10"/>
          <w:lang w:val="pt-BR"/>
        </w:rPr>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FE00AD" w:rsidRPr="005D1DE4" w:rsidRDefault="00FE00AD" w:rsidP="00F82D8F">
      <w:pPr>
        <w:pStyle w:val="Corpodetexto2"/>
        <w:jc w:val="center"/>
        <w:rPr>
          <w:b/>
          <w:bCs/>
          <w:emboss/>
          <w:sz w:val="10"/>
          <w:szCs w:val="10"/>
        </w:rPr>
      </w:pPr>
    </w:p>
    <w:p w:rsidR="00D80B15" w:rsidRDefault="00D80B15" w:rsidP="00EF78CF">
      <w:pPr>
        <w:jc w:val="both"/>
        <w:rPr>
          <w:b/>
          <w:i/>
          <w:sz w:val="24"/>
          <w:szCs w:val="24"/>
        </w:rPr>
      </w:pPr>
      <w:r>
        <w:rPr>
          <w:b/>
          <w:i/>
          <w:sz w:val="24"/>
          <w:szCs w:val="24"/>
        </w:rPr>
        <w:t xml:space="preserve">Recurso ordinário. Interposição antes da publicação da sentença em Diário Oficial. Intempestividade. Não configuração. Inaplicabilidade da Súmula n.º 434, I, do TST.    </w:t>
      </w:r>
    </w:p>
    <w:p w:rsidR="00D80B15" w:rsidRDefault="00D80B15" w:rsidP="00EF78CF">
      <w:pPr>
        <w:jc w:val="both"/>
        <w:rPr>
          <w:sz w:val="24"/>
          <w:szCs w:val="24"/>
          <w:u w:val="single"/>
        </w:rPr>
      </w:pPr>
      <w:r>
        <w:rPr>
          <w:sz w:val="24"/>
          <w:szCs w:val="24"/>
        </w:rPr>
        <w:t xml:space="preserve">A Súmula n.º 434, I, do TST (ex-OJ n.º 357 da SBDI-I) não se aplica à hipótese de interposição de recurso ordinário antes da publicação da sentença em Diário Oficial, pois seu conteúdo pode ser disponibilizado às partes por outros meios (arts. 834 e 852 da CLT), não sendo a referida publicação imprescindível à produção de efeitos jurídicos. Com esse entendimento, a SBDI-I, à unanimidade, conheceu dos embargos por má aplicação da Orientação Jurisprudencial n.º 357 da SBDI-I e deu-lhes provimento para restabelecer o acórdão que afastou a alegação de extemporaneidade do recurso ordinário do reclamante. </w:t>
      </w:r>
      <w:hyperlink r:id="rId9" w:history="1">
        <w:r w:rsidRPr="00EF78CF">
          <w:rPr>
            <w:rStyle w:val="Hyperlink"/>
            <w:sz w:val="24"/>
            <w:szCs w:val="24"/>
          </w:rPr>
          <w:t>TST-E-RR-176100-21.2009.5.09.0872</w:t>
        </w:r>
      </w:hyperlink>
      <w:r w:rsidRPr="00EF78CF">
        <w:rPr>
          <w:sz w:val="24"/>
          <w:szCs w:val="24"/>
          <w:u w:val="single"/>
        </w:rPr>
        <w:t>, SBDI-I, rel. Min. Renato de Lacerda Paiva, 29.3.2012</w:t>
      </w:r>
      <w:r w:rsidRPr="003D032E">
        <w:rPr>
          <w:sz w:val="24"/>
          <w:szCs w:val="24"/>
          <w:u w:val="single"/>
        </w:rPr>
        <w:t>.</w:t>
      </w:r>
    </w:p>
    <w:p w:rsidR="00D80B15" w:rsidRPr="00D80B15" w:rsidRDefault="00D80B15" w:rsidP="00D80B15">
      <w:pPr>
        <w:ind w:right="-567"/>
        <w:jc w:val="both"/>
        <w:rPr>
          <w:sz w:val="10"/>
          <w:szCs w:val="10"/>
          <w:u w:val="single"/>
        </w:rPr>
      </w:pPr>
    </w:p>
    <w:p w:rsidR="00D80B15" w:rsidRDefault="00D80B15" w:rsidP="00EF78CF">
      <w:pPr>
        <w:jc w:val="both"/>
        <w:rPr>
          <w:b/>
          <w:i/>
          <w:sz w:val="24"/>
          <w:szCs w:val="24"/>
        </w:rPr>
      </w:pPr>
      <w:r>
        <w:rPr>
          <w:b/>
          <w:i/>
          <w:sz w:val="24"/>
          <w:szCs w:val="24"/>
        </w:rPr>
        <w:t>Dispensa decorrente do ajuizamento de reclamação trabalhista. Caráter retaliativo e discriminatório. Abuso de direito.</w:t>
      </w:r>
      <w:r w:rsidRPr="003D032E">
        <w:rPr>
          <w:b/>
          <w:i/>
          <w:sz w:val="24"/>
          <w:szCs w:val="24"/>
        </w:rPr>
        <w:t xml:space="preserve"> </w:t>
      </w:r>
      <w:r>
        <w:rPr>
          <w:b/>
          <w:i/>
          <w:sz w:val="24"/>
          <w:szCs w:val="24"/>
        </w:rPr>
        <w:t>Obstáculo à garantia de acesso à justiça. Reintegração. Devida.</w:t>
      </w:r>
    </w:p>
    <w:p w:rsidR="00D80B15" w:rsidRDefault="00D80B15" w:rsidP="00EF78CF">
      <w:pPr>
        <w:jc w:val="both"/>
        <w:rPr>
          <w:sz w:val="24"/>
          <w:szCs w:val="24"/>
          <w:u w:val="single"/>
        </w:rPr>
      </w:pPr>
      <w:r>
        <w:rPr>
          <w:sz w:val="24"/>
          <w:szCs w:val="24"/>
        </w:rPr>
        <w:t>A dispensa do trabalhador, quando motivada pela não desistência de reclamação trabalhista ajuizada contra o empregador, possui conotação retaliativa e discriminatória, configurando abuso de direito e obstáculo à garantia de acesso à justiça. Com base nessa premissa, a SBDI-I, por unanimidade, conheceu dos embargos, por divergência jurisprudencial, e, no mérito, deu-lhes provimento para, decretada a nulidade dos atos de despedimento, condenar a reclamada à reintegração do autor, bem como ao pagamento dos salários e demais vantagens referentes ao período de afastamento. Na espécie, ressaltou o Ministro relator que o exercício do direito potestativo de denúncia vazia do contrato de trabalho sofre limites em razão dos princípios da função social da propriedade e da dignidade da pessoa humana, e dos valores sociais do trabalho, revelando-se aviltante a conduta da Infraero quando, cumprindo ameaças, demitiu os empregados públicos que não desistiram da ação em que pleiteavam adicionais de</w:t>
      </w:r>
      <w:r w:rsidR="00EF78CF">
        <w:rPr>
          <w:sz w:val="24"/>
          <w:szCs w:val="24"/>
        </w:rPr>
        <w:t xml:space="preserve"> </w:t>
      </w:r>
      <w:r>
        <w:rPr>
          <w:sz w:val="24"/>
          <w:szCs w:val="24"/>
        </w:rPr>
        <w:t xml:space="preserve">insalubridade e periculosidade. </w:t>
      </w:r>
      <w:hyperlink r:id="rId10" w:history="1">
        <w:r w:rsidRPr="00EF78CF">
          <w:rPr>
            <w:rStyle w:val="Hyperlink"/>
            <w:sz w:val="24"/>
            <w:szCs w:val="24"/>
          </w:rPr>
          <w:t>TST-E-RR-7633000-19.2003</w:t>
        </w:r>
        <w:r w:rsidRPr="00EF78CF">
          <w:rPr>
            <w:rStyle w:val="Hyperlink"/>
            <w:sz w:val="24"/>
            <w:szCs w:val="24"/>
          </w:rPr>
          <w:t>.</w:t>
        </w:r>
        <w:r w:rsidRPr="00EF78CF">
          <w:rPr>
            <w:rStyle w:val="Hyperlink"/>
            <w:sz w:val="24"/>
            <w:szCs w:val="24"/>
          </w:rPr>
          <w:t>5.14.0900</w:t>
        </w:r>
      </w:hyperlink>
      <w:r w:rsidRPr="00EF78CF">
        <w:rPr>
          <w:sz w:val="24"/>
          <w:szCs w:val="24"/>
          <w:u w:val="single"/>
        </w:rPr>
        <w:t>, SBDI-I, rel. Min. Ives Gandra da Silva Martins Filho, 29.3.2012</w:t>
      </w:r>
      <w:r w:rsidRPr="003D032E">
        <w:rPr>
          <w:sz w:val="24"/>
          <w:szCs w:val="24"/>
          <w:u w:val="single"/>
        </w:rPr>
        <w:t>.</w:t>
      </w:r>
    </w:p>
    <w:p w:rsidR="00BC1DE7" w:rsidRPr="005D1DE4" w:rsidRDefault="00BC1DE7" w:rsidP="00C71A3B">
      <w:pPr>
        <w:pStyle w:val="Corpo"/>
        <w:spacing w:line="240" w:lineRule="auto"/>
        <w:ind w:firstLine="0"/>
        <w:rPr>
          <w:rFonts w:ascii="Times New Roman" w:hAnsi="Times New Roman" w:cs="Times New Roman"/>
          <w:sz w:val="10"/>
          <w:szCs w:val="10"/>
          <w:u w:val="single"/>
          <w:lang w:val="pt-BR" w:eastAsia="en-US"/>
        </w:rPr>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9027C8" w:rsidRPr="005D1DE4" w:rsidRDefault="009027C8" w:rsidP="009027C8">
      <w:pPr>
        <w:pStyle w:val="tema"/>
        <w:tabs>
          <w:tab w:val="left" w:pos="11482"/>
          <w:tab w:val="left" w:pos="11624"/>
        </w:tabs>
        <w:ind w:left="0"/>
        <w:rPr>
          <w:rFonts w:ascii="Times New Roman" w:hAnsi="Times New Roman" w:cs="Times New Roman"/>
          <w:i/>
          <w:caps w:val="0"/>
          <w:color w:val="auto"/>
          <w:sz w:val="10"/>
          <w:szCs w:val="10"/>
        </w:rPr>
      </w:pPr>
    </w:p>
    <w:p w:rsidR="00EF78CF" w:rsidRPr="003208B6" w:rsidRDefault="00EF78CF" w:rsidP="00EF78CF">
      <w:pPr>
        <w:pStyle w:val="INFORMATIVO"/>
      </w:pPr>
      <w:r w:rsidRPr="003208B6">
        <w:t xml:space="preserve">AR. </w:t>
      </w:r>
      <w:r>
        <w:t>Ação autônoma que reconhece a responsabilidade subsidiária do tomador de serviços. Existência de s</w:t>
      </w:r>
      <w:r w:rsidRPr="003208B6">
        <w:t xml:space="preserve">entença condenatória definitiva </w:t>
      </w:r>
      <w:r>
        <w:t>em que</w:t>
      </w:r>
      <w:r w:rsidRPr="003208B6">
        <w:t xml:space="preserve"> figurou como parte apenas o prestador de serviços. Alteração subjetiva do título executivo judicial. Ofensa à coisa julgada e ao </w:t>
      </w:r>
      <w:r>
        <w:t>direito à ampla defesa e a</w:t>
      </w:r>
      <w:r w:rsidRPr="003208B6">
        <w:t>o contraditório. Art. 5º, XXXVI e LV, da CF.</w:t>
      </w:r>
    </w:p>
    <w:p w:rsidR="00EF78CF" w:rsidRPr="003208B6" w:rsidRDefault="00EF78CF" w:rsidP="00EF78CF">
      <w:pPr>
        <w:pStyle w:val="explicao0"/>
        <w:spacing w:line="240" w:lineRule="auto"/>
        <w:ind w:left="0"/>
        <w:rPr>
          <w:rFonts w:ascii="Times New Roman" w:hAnsi="Times New Roman"/>
          <w:bCs/>
          <w:i w:val="0"/>
          <w:iCs/>
          <w:szCs w:val="24"/>
          <w:u w:val="single"/>
        </w:rPr>
      </w:pPr>
      <w:r w:rsidRPr="003208B6">
        <w:rPr>
          <w:rFonts w:ascii="Times New Roman" w:hAnsi="Times New Roman"/>
          <w:bCs/>
          <w:i w:val="0"/>
          <w:iCs/>
          <w:szCs w:val="24"/>
        </w:rPr>
        <w:t>A decisão em ação autônoma que reconhec</w:t>
      </w:r>
      <w:r>
        <w:rPr>
          <w:rFonts w:ascii="Times New Roman" w:hAnsi="Times New Roman"/>
          <w:bCs/>
          <w:i w:val="0"/>
          <w:iCs/>
          <w:szCs w:val="24"/>
        </w:rPr>
        <w:t>e</w:t>
      </w:r>
      <w:r w:rsidRPr="003208B6">
        <w:rPr>
          <w:rFonts w:ascii="Times New Roman" w:hAnsi="Times New Roman"/>
          <w:bCs/>
          <w:i w:val="0"/>
          <w:iCs/>
          <w:szCs w:val="24"/>
        </w:rPr>
        <w:t xml:space="preserve"> a responsabilidade subsidiária do tomador d</w:t>
      </w:r>
      <w:r>
        <w:rPr>
          <w:rFonts w:ascii="Times New Roman" w:hAnsi="Times New Roman"/>
          <w:bCs/>
          <w:i w:val="0"/>
          <w:iCs/>
          <w:szCs w:val="24"/>
        </w:rPr>
        <w:t>e</w:t>
      </w:r>
      <w:r w:rsidRPr="003208B6">
        <w:rPr>
          <w:rFonts w:ascii="Times New Roman" w:hAnsi="Times New Roman"/>
          <w:bCs/>
          <w:i w:val="0"/>
          <w:iCs/>
          <w:szCs w:val="24"/>
        </w:rPr>
        <w:t xml:space="preserve"> serviços, quando há sentença condenatória definitiva prolatada em ação </w:t>
      </w:r>
      <w:r>
        <w:rPr>
          <w:rFonts w:ascii="Times New Roman" w:hAnsi="Times New Roman"/>
          <w:bCs/>
          <w:i w:val="0"/>
          <w:iCs/>
          <w:szCs w:val="24"/>
        </w:rPr>
        <w:t xml:space="preserve">anteriormente </w:t>
      </w:r>
      <w:r w:rsidRPr="003208B6">
        <w:rPr>
          <w:rFonts w:ascii="Times New Roman" w:hAnsi="Times New Roman"/>
          <w:bCs/>
          <w:i w:val="0"/>
          <w:iCs/>
          <w:szCs w:val="24"/>
        </w:rPr>
        <w:t xml:space="preserve">proposta pelo mesmo reclamante </w:t>
      </w:r>
      <w:r>
        <w:rPr>
          <w:rFonts w:ascii="Times New Roman" w:hAnsi="Times New Roman"/>
          <w:bCs/>
          <w:i w:val="0"/>
          <w:iCs/>
          <w:szCs w:val="24"/>
        </w:rPr>
        <w:t>em que</w:t>
      </w:r>
      <w:r w:rsidRPr="003208B6">
        <w:rPr>
          <w:rFonts w:ascii="Times New Roman" w:hAnsi="Times New Roman"/>
          <w:bCs/>
          <w:i w:val="0"/>
          <w:iCs/>
          <w:szCs w:val="24"/>
        </w:rPr>
        <w:t xml:space="preserve"> figurou como parte apenas o prestador de serviços</w:t>
      </w:r>
      <w:r>
        <w:rPr>
          <w:rFonts w:ascii="Times New Roman" w:hAnsi="Times New Roman"/>
          <w:bCs/>
          <w:i w:val="0"/>
          <w:iCs/>
          <w:szCs w:val="24"/>
        </w:rPr>
        <w:t>, altera a titularidade subjetiva do título executivo e</w:t>
      </w:r>
      <w:r w:rsidRPr="003208B6">
        <w:rPr>
          <w:rFonts w:ascii="Times New Roman" w:hAnsi="Times New Roman"/>
          <w:bCs/>
          <w:i w:val="0"/>
          <w:iCs/>
          <w:szCs w:val="24"/>
        </w:rPr>
        <w:t xml:space="preserve"> ofende a literalidade do art. 5º, XXXVI e LV, da Constituição Federal</w:t>
      </w:r>
      <w:r>
        <w:rPr>
          <w:rFonts w:ascii="Times New Roman" w:hAnsi="Times New Roman"/>
          <w:bCs/>
          <w:i w:val="0"/>
          <w:iCs/>
          <w:szCs w:val="24"/>
        </w:rPr>
        <w:t xml:space="preserve"> (coisa julgada e direito ao contraditório e à ampla defesa)</w:t>
      </w:r>
      <w:r w:rsidRPr="003208B6">
        <w:rPr>
          <w:rFonts w:ascii="Times New Roman" w:hAnsi="Times New Roman"/>
          <w:bCs/>
          <w:i w:val="0"/>
          <w:iCs/>
          <w:szCs w:val="24"/>
        </w:rPr>
        <w:t>. Com esse entendimento, a SBDI-II, por unanimidade, deu provimento ao recurso ordinário para desconstituir o acórdão proferido nos autos da reclamação trabalhista e, em juízo rescisório, dar provimento ao recurso ordinário do reclamado para julgar improcedente o pedido formulado</w:t>
      </w:r>
      <w:r>
        <w:rPr>
          <w:rFonts w:ascii="Times New Roman" w:hAnsi="Times New Roman"/>
          <w:bCs/>
          <w:i w:val="0"/>
          <w:iCs/>
          <w:szCs w:val="24"/>
        </w:rPr>
        <w:t xml:space="preserve"> na</w:t>
      </w:r>
      <w:r w:rsidRPr="003208B6">
        <w:rPr>
          <w:rFonts w:ascii="Times New Roman" w:hAnsi="Times New Roman"/>
          <w:bCs/>
          <w:i w:val="0"/>
          <w:iCs/>
          <w:szCs w:val="24"/>
        </w:rPr>
        <w:t xml:space="preserve"> </w:t>
      </w:r>
      <w:r>
        <w:rPr>
          <w:rFonts w:ascii="Times New Roman" w:hAnsi="Times New Roman"/>
          <w:bCs/>
          <w:i w:val="0"/>
          <w:iCs/>
          <w:szCs w:val="24"/>
        </w:rPr>
        <w:t>inicial da referida reclamatória</w:t>
      </w:r>
      <w:r w:rsidRPr="003208B6">
        <w:rPr>
          <w:rFonts w:ascii="Times New Roman" w:hAnsi="Times New Roman"/>
          <w:bCs/>
          <w:i w:val="0"/>
          <w:iCs/>
          <w:szCs w:val="24"/>
        </w:rPr>
        <w:t>.</w:t>
      </w:r>
      <w:r w:rsidRPr="008F4FE4">
        <w:rPr>
          <w:rFonts w:ascii="Times New Roman" w:hAnsi="Times New Roman"/>
          <w:bCs/>
          <w:iCs/>
          <w:sz w:val="22"/>
          <w:szCs w:val="22"/>
        </w:rPr>
        <w:t xml:space="preserve"> </w:t>
      </w:r>
      <w:hyperlink r:id="rId11" w:history="1">
        <w:r w:rsidRPr="00EF78CF">
          <w:rPr>
            <w:rStyle w:val="Hyperlink"/>
            <w:rFonts w:ascii="Times New Roman" w:hAnsi="Times New Roman"/>
            <w:bCs/>
            <w:i w:val="0"/>
            <w:iCs/>
            <w:szCs w:val="24"/>
          </w:rPr>
          <w:t>TST-RO-100200-60.2010.5.03.0000</w:t>
        </w:r>
      </w:hyperlink>
      <w:r w:rsidRPr="00EF78CF">
        <w:rPr>
          <w:rFonts w:ascii="Times New Roman" w:hAnsi="Times New Roman"/>
          <w:bCs/>
          <w:i w:val="0"/>
          <w:iCs/>
          <w:szCs w:val="24"/>
          <w:u w:val="single"/>
        </w:rPr>
        <w:t>, SBDI-II, rel. Min. Pedro Paulo Manus. 27.3.2012</w:t>
      </w:r>
      <w:r w:rsidRPr="003208B6">
        <w:rPr>
          <w:rFonts w:ascii="Times New Roman" w:hAnsi="Times New Roman"/>
          <w:bCs/>
          <w:i w:val="0"/>
          <w:iCs/>
          <w:szCs w:val="24"/>
          <w:u w:val="single"/>
        </w:rPr>
        <w:t>.</w:t>
      </w:r>
    </w:p>
    <w:p w:rsidR="00EF78CF" w:rsidRPr="00EF78CF" w:rsidRDefault="00EF78CF" w:rsidP="00D80B15">
      <w:pPr>
        <w:jc w:val="both"/>
        <w:rPr>
          <w:b/>
          <w:i/>
          <w:sz w:val="10"/>
          <w:szCs w:val="10"/>
        </w:rPr>
      </w:pPr>
    </w:p>
    <w:p w:rsidR="00D80B15" w:rsidRPr="00F03549" w:rsidRDefault="00D80B15" w:rsidP="00D80B15">
      <w:pPr>
        <w:jc w:val="both"/>
        <w:rPr>
          <w:b/>
          <w:i/>
          <w:sz w:val="24"/>
          <w:szCs w:val="24"/>
        </w:rPr>
      </w:pPr>
      <w:r w:rsidRPr="00F03549">
        <w:rPr>
          <w:b/>
          <w:i/>
          <w:sz w:val="24"/>
          <w:szCs w:val="24"/>
        </w:rPr>
        <w:t xml:space="preserve">MS. Antecipação dos efeitos da tutela. Art. 273 do CPC. Possibilidade. Cessação de benefício previdenciário. Retorno ao trabalho obstado pelo empregador. Restabelecimento dos salários. Manutenção do plano de saúde. Valor social do trabalho. Princípio da dignidade da pessoa humana. </w:t>
      </w:r>
    </w:p>
    <w:p w:rsidR="00D80B15" w:rsidRDefault="00D80B15" w:rsidP="00D80B15">
      <w:pPr>
        <w:jc w:val="both"/>
        <w:rPr>
          <w:sz w:val="24"/>
          <w:szCs w:val="24"/>
          <w:u w:val="single"/>
        </w:rPr>
      </w:pPr>
      <w:r w:rsidRPr="00F03549">
        <w:rPr>
          <w:sz w:val="24"/>
          <w:szCs w:val="24"/>
        </w:rPr>
        <w:t xml:space="preserve">Constatada a aptidão para o trabalho, ante a cessação de benefício previdenciário em virtude de recuperação da capacidade laboral atestada por perícia médica do INSS, compete ao empregador, enquanto responsável pelo risco da atividade empresarial, receber o trabalhador, ofertando-lhe as funções antes executadas ou outras compatíveis com as limitações adquiridas. Com esses fundamentos, a SBDI-II, concluindo que a decisão que antecipou os efeitos da tutela para obrigar a reclamada a restabelecer o pagamento dos salários, bem como manter o plano de saúde do empregado, está, de fato, amparada nos pressupostos que autorizam o deferimento das medidas liminares </w:t>
      </w:r>
      <w:r w:rsidRPr="00F03549">
        <w:rPr>
          <w:b/>
          <w:sz w:val="24"/>
          <w:szCs w:val="24"/>
        </w:rPr>
        <w:t>inaudita altera pars</w:t>
      </w:r>
      <w:r w:rsidRPr="00F03549">
        <w:rPr>
          <w:sz w:val="24"/>
          <w:szCs w:val="24"/>
        </w:rPr>
        <w:t xml:space="preserve">, consoante o art. 273 do CPC, conheceu do recurso ordinário em mandado de segurança e, no mérito, negou-lhe provimento. No caso, ressaltou-se que a concessão da tutela antecipada é medida que se impõe como forma de garantir o valor social do trabalho e a dignidade da pessoa humana, pois o empregado, já sem a percepção do auxílio-doença, ficaria também sem os salários, ante a tentativa da empresa de, mediante a emissão do Atestado de Saúde Ocupacional (ASO) declarando-o inapto para as atividades que desempenhava, obstar o seu retorno ao serviço. </w:t>
      </w:r>
      <w:hyperlink r:id="rId12" w:history="1">
        <w:r w:rsidRPr="00EF78CF">
          <w:rPr>
            <w:rStyle w:val="Hyperlink"/>
            <w:sz w:val="24"/>
            <w:szCs w:val="24"/>
          </w:rPr>
          <w:t>TST-RO-33-65.2011.5.15.0000</w:t>
        </w:r>
      </w:hyperlink>
      <w:r w:rsidRPr="00EF78CF">
        <w:rPr>
          <w:sz w:val="24"/>
          <w:szCs w:val="24"/>
          <w:u w:val="single"/>
        </w:rPr>
        <w:t>, SBDI-II, rel. Min. Alberto Luiz Bresciani de Fontan Pereira, 3.4.2012</w:t>
      </w:r>
      <w:r w:rsidRPr="00F03549">
        <w:rPr>
          <w:sz w:val="24"/>
          <w:szCs w:val="24"/>
          <w:u w:val="single"/>
        </w:rPr>
        <w:t>.</w:t>
      </w:r>
    </w:p>
    <w:p w:rsidR="00D80B15" w:rsidRPr="00D80B15" w:rsidRDefault="00D80B15" w:rsidP="00D80B15">
      <w:pPr>
        <w:jc w:val="both"/>
        <w:rPr>
          <w:sz w:val="10"/>
          <w:szCs w:val="10"/>
        </w:rPr>
      </w:pPr>
    </w:p>
    <w:p w:rsidR="00EA29F5" w:rsidRPr="005D1DE4" w:rsidRDefault="00EA29F5" w:rsidP="004B21AD">
      <w:pPr>
        <w:pStyle w:val="EXPLICAO"/>
        <w:ind w:left="0"/>
        <w:rPr>
          <w:rFonts w:ascii="Times New Roman" w:hAnsi="Times New Roman" w:cs="Times New Roman"/>
          <w:b/>
          <w:color w:val="auto"/>
          <w:sz w:val="10"/>
          <w:szCs w:val="10"/>
        </w:rPr>
      </w:pPr>
    </w:p>
    <w:p w:rsidR="004B21AD" w:rsidRPr="005D1DE4" w:rsidRDefault="004B21AD" w:rsidP="009027C8">
      <w:pPr>
        <w:pStyle w:val="tema"/>
        <w:tabs>
          <w:tab w:val="left" w:pos="11482"/>
          <w:tab w:val="left" w:pos="11624"/>
        </w:tabs>
        <w:ind w:left="0"/>
        <w:rPr>
          <w:rFonts w:ascii="Times New Roman" w:hAnsi="Times New Roman" w:cs="Times New Roman"/>
          <w:bCs w:val="0"/>
          <w:i/>
          <w:iCs/>
          <w:caps w:val="0"/>
          <w:color w:val="auto"/>
        </w:rPr>
      </w:pPr>
    </w:p>
    <w:p w:rsidR="004B21AD" w:rsidRPr="005D1DE4" w:rsidRDefault="004B21AD" w:rsidP="009027C8">
      <w:pPr>
        <w:pStyle w:val="tema"/>
        <w:tabs>
          <w:tab w:val="left" w:pos="11482"/>
          <w:tab w:val="left" w:pos="11624"/>
        </w:tabs>
        <w:ind w:left="0"/>
        <w:rPr>
          <w:rFonts w:ascii="Times New Roman" w:hAnsi="Times New Roman" w:cs="Times New Roman"/>
          <w:bCs w:val="0"/>
          <w:i/>
          <w:iCs/>
          <w:caps w:val="0"/>
          <w:color w:val="auto"/>
        </w:rPr>
      </w:pPr>
    </w:p>
    <w:p w:rsidR="006456B1" w:rsidRPr="005D1DE4" w:rsidRDefault="006456B1" w:rsidP="004C2612">
      <w:pPr>
        <w:pStyle w:val="EXPLICAO"/>
        <w:ind w:left="0"/>
        <w:rPr>
          <w:rFonts w:ascii="Times New Roman" w:hAnsi="Times New Roman" w:cs="Times New Roman"/>
          <w:b/>
          <w:color w:val="auto"/>
        </w:rPr>
      </w:pPr>
    </w:p>
    <w:p w:rsidR="00C26DFB" w:rsidRPr="005D1DE4" w:rsidRDefault="00C26DFB">
      <w:pPr>
        <w:jc w:val="both"/>
        <w:rPr>
          <w:sz w:val="22"/>
          <w:szCs w:val="22"/>
          <w:u w:val="single"/>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CC2" w:rsidRDefault="00937CC2">
      <w:r>
        <w:separator/>
      </w:r>
    </w:p>
  </w:endnote>
  <w:endnote w:type="continuationSeparator" w:id="0">
    <w:p w:rsidR="00937CC2" w:rsidRDefault="0093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9A" w:rsidRDefault="001A119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78CF">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550C6E">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CC2" w:rsidRDefault="00937CC2">
      <w:r>
        <w:separator/>
      </w:r>
    </w:p>
  </w:footnote>
  <w:footnote w:type="continuationSeparator" w:id="0">
    <w:p w:rsidR="00937CC2" w:rsidRDefault="00937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9A" w:rsidRDefault="001A119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A2480F">
      <w:rPr>
        <w:shadow/>
        <w:sz w:val="24"/>
        <w:szCs w:val="24"/>
      </w:rPr>
      <w:t>4</w:t>
    </w:r>
  </w:p>
  <w:p w:rsidR="00FE00AD" w:rsidRPr="00971E07" w:rsidRDefault="00187A37">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A2480F">
      <w:rPr>
        <w:sz w:val="20"/>
        <w:szCs w:val="20"/>
      </w:rPr>
      <w:t xml:space="preserve">29 </w:t>
    </w:r>
    <w:r w:rsidR="00FE00AD" w:rsidRPr="00971E07">
      <w:rPr>
        <w:sz w:val="20"/>
        <w:szCs w:val="20"/>
      </w:rPr>
      <w:t>de ma</w:t>
    </w:r>
    <w:r w:rsidR="00E16E01" w:rsidRPr="00971E07">
      <w:rPr>
        <w:sz w:val="20"/>
        <w:szCs w:val="20"/>
      </w:rPr>
      <w:t>rç</w:t>
    </w:r>
    <w:r w:rsidR="00FE00AD" w:rsidRPr="00971E07">
      <w:rPr>
        <w:sz w:val="20"/>
        <w:szCs w:val="20"/>
      </w:rPr>
      <w:t xml:space="preserve">o </w:t>
    </w:r>
    <w:r w:rsidR="00A2480F">
      <w:rPr>
        <w:sz w:val="20"/>
        <w:szCs w:val="20"/>
      </w:rPr>
      <w:t xml:space="preserve">a 11 de abril </w:t>
    </w:r>
    <w:r w:rsidR="00FE00AD" w:rsidRPr="00971E07">
      <w:rPr>
        <w:sz w:val="20"/>
        <w:szCs w:val="20"/>
      </w:rPr>
      <w:t>de 20</w:t>
    </w:r>
    <w:r w:rsidR="00E16E01" w:rsidRPr="00971E07">
      <w:rPr>
        <w:sz w:val="20"/>
        <w:szCs w:val="20"/>
      </w:rPr>
      <w:t>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5pt;height:77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1A119A">
      <w:rPr>
        <w:b/>
        <w:sz w:val="40"/>
        <w:szCs w:val="40"/>
      </w:rPr>
      <w:t>4</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1A119A">
      <w:rPr>
        <w:i/>
        <w:iCs/>
      </w:rPr>
      <w:t xml:space="preserve">29 </w:t>
    </w:r>
    <w:r w:rsidR="00FE00AD" w:rsidRPr="005D1DE4">
      <w:rPr>
        <w:i/>
        <w:iCs/>
      </w:rPr>
      <w:t>de março</w:t>
    </w:r>
    <w:r w:rsidR="001A119A">
      <w:rPr>
        <w:i/>
        <w:iCs/>
      </w:rPr>
      <w:t xml:space="preserve"> a 11 de abril </w:t>
    </w:r>
    <w:r w:rsidR="00FE00AD" w:rsidRPr="005D1DE4">
      <w:rPr>
        <w:i/>
        <w:iCs/>
      </w:rPr>
      <w:t>de 2012</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colormenu v:ext="edit" fillcolor="none [3213]"/>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425FC"/>
    <w:rsid w:val="00050E85"/>
    <w:rsid w:val="00056752"/>
    <w:rsid w:val="00057B87"/>
    <w:rsid w:val="0006020E"/>
    <w:rsid w:val="000733B4"/>
    <w:rsid w:val="00073880"/>
    <w:rsid w:val="00075BDB"/>
    <w:rsid w:val="00080F10"/>
    <w:rsid w:val="0009237D"/>
    <w:rsid w:val="00093AE9"/>
    <w:rsid w:val="00093BA8"/>
    <w:rsid w:val="000A04E6"/>
    <w:rsid w:val="000B4D41"/>
    <w:rsid w:val="000B67DF"/>
    <w:rsid w:val="000B7CDE"/>
    <w:rsid w:val="000C3022"/>
    <w:rsid w:val="000C672B"/>
    <w:rsid w:val="000E0A91"/>
    <w:rsid w:val="0011575C"/>
    <w:rsid w:val="0011692E"/>
    <w:rsid w:val="00137564"/>
    <w:rsid w:val="00137DC1"/>
    <w:rsid w:val="0015612D"/>
    <w:rsid w:val="00176D15"/>
    <w:rsid w:val="00184590"/>
    <w:rsid w:val="00187A37"/>
    <w:rsid w:val="0019151D"/>
    <w:rsid w:val="00193208"/>
    <w:rsid w:val="001A119A"/>
    <w:rsid w:val="001C04D2"/>
    <w:rsid w:val="001C271F"/>
    <w:rsid w:val="001C6C93"/>
    <w:rsid w:val="001D4CF9"/>
    <w:rsid w:val="001D5AB0"/>
    <w:rsid w:val="001D757D"/>
    <w:rsid w:val="001E14BB"/>
    <w:rsid w:val="001E4B57"/>
    <w:rsid w:val="001E5BD1"/>
    <w:rsid w:val="001E713B"/>
    <w:rsid w:val="001F030F"/>
    <w:rsid w:val="00206810"/>
    <w:rsid w:val="002168DE"/>
    <w:rsid w:val="00224AC2"/>
    <w:rsid w:val="0023559D"/>
    <w:rsid w:val="002402B0"/>
    <w:rsid w:val="002449F9"/>
    <w:rsid w:val="002635ED"/>
    <w:rsid w:val="002662BA"/>
    <w:rsid w:val="00266D49"/>
    <w:rsid w:val="00271C5C"/>
    <w:rsid w:val="00271E67"/>
    <w:rsid w:val="002730B5"/>
    <w:rsid w:val="00280594"/>
    <w:rsid w:val="00285064"/>
    <w:rsid w:val="002A219D"/>
    <w:rsid w:val="002A546D"/>
    <w:rsid w:val="002B4738"/>
    <w:rsid w:val="002B6377"/>
    <w:rsid w:val="002C2904"/>
    <w:rsid w:val="002E78CB"/>
    <w:rsid w:val="0033397A"/>
    <w:rsid w:val="00345BFE"/>
    <w:rsid w:val="00352B27"/>
    <w:rsid w:val="0036325E"/>
    <w:rsid w:val="003671FE"/>
    <w:rsid w:val="003708FD"/>
    <w:rsid w:val="0037667D"/>
    <w:rsid w:val="00384075"/>
    <w:rsid w:val="003908C5"/>
    <w:rsid w:val="00396053"/>
    <w:rsid w:val="003A4086"/>
    <w:rsid w:val="003A5E5B"/>
    <w:rsid w:val="003B045C"/>
    <w:rsid w:val="003B0A59"/>
    <w:rsid w:val="003B3EB5"/>
    <w:rsid w:val="003B4E23"/>
    <w:rsid w:val="003B767E"/>
    <w:rsid w:val="003C6FE7"/>
    <w:rsid w:val="003D032E"/>
    <w:rsid w:val="003D4205"/>
    <w:rsid w:val="003F2078"/>
    <w:rsid w:val="00404CCD"/>
    <w:rsid w:val="0042772A"/>
    <w:rsid w:val="004323B0"/>
    <w:rsid w:val="00444E88"/>
    <w:rsid w:val="0045657C"/>
    <w:rsid w:val="004655CC"/>
    <w:rsid w:val="00466DB9"/>
    <w:rsid w:val="00486521"/>
    <w:rsid w:val="00486DFC"/>
    <w:rsid w:val="004922D6"/>
    <w:rsid w:val="004A14FC"/>
    <w:rsid w:val="004A5264"/>
    <w:rsid w:val="004B21AD"/>
    <w:rsid w:val="004C011C"/>
    <w:rsid w:val="004C14EA"/>
    <w:rsid w:val="004C2118"/>
    <w:rsid w:val="004C2612"/>
    <w:rsid w:val="004D6000"/>
    <w:rsid w:val="004D6415"/>
    <w:rsid w:val="004D71E8"/>
    <w:rsid w:val="004E393E"/>
    <w:rsid w:val="004E4507"/>
    <w:rsid w:val="004E4619"/>
    <w:rsid w:val="004F0A7D"/>
    <w:rsid w:val="0051538E"/>
    <w:rsid w:val="00517E01"/>
    <w:rsid w:val="00521EEC"/>
    <w:rsid w:val="005460BD"/>
    <w:rsid w:val="00550C6E"/>
    <w:rsid w:val="00553197"/>
    <w:rsid w:val="0055409E"/>
    <w:rsid w:val="00556367"/>
    <w:rsid w:val="00556B35"/>
    <w:rsid w:val="00573E13"/>
    <w:rsid w:val="00584F82"/>
    <w:rsid w:val="00591DFA"/>
    <w:rsid w:val="005A5695"/>
    <w:rsid w:val="005B2F00"/>
    <w:rsid w:val="005B57DE"/>
    <w:rsid w:val="005C1886"/>
    <w:rsid w:val="005C761E"/>
    <w:rsid w:val="005D0E5F"/>
    <w:rsid w:val="005D1DE4"/>
    <w:rsid w:val="005E35BD"/>
    <w:rsid w:val="005E3D4D"/>
    <w:rsid w:val="005E7FD1"/>
    <w:rsid w:val="005F2858"/>
    <w:rsid w:val="006002E3"/>
    <w:rsid w:val="006145AC"/>
    <w:rsid w:val="00615D43"/>
    <w:rsid w:val="00615F98"/>
    <w:rsid w:val="00621F9C"/>
    <w:rsid w:val="00631166"/>
    <w:rsid w:val="00631F1C"/>
    <w:rsid w:val="006366A4"/>
    <w:rsid w:val="006456B1"/>
    <w:rsid w:val="006564EC"/>
    <w:rsid w:val="0066084C"/>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F6C15"/>
    <w:rsid w:val="0070727E"/>
    <w:rsid w:val="00710D3A"/>
    <w:rsid w:val="0071315F"/>
    <w:rsid w:val="00721942"/>
    <w:rsid w:val="00722BE7"/>
    <w:rsid w:val="00732DF2"/>
    <w:rsid w:val="00757A87"/>
    <w:rsid w:val="007614F1"/>
    <w:rsid w:val="007618C5"/>
    <w:rsid w:val="00764066"/>
    <w:rsid w:val="00776118"/>
    <w:rsid w:val="007B0F83"/>
    <w:rsid w:val="007D29A1"/>
    <w:rsid w:val="007E0EA7"/>
    <w:rsid w:val="007E3F23"/>
    <w:rsid w:val="007F142E"/>
    <w:rsid w:val="007F7B5E"/>
    <w:rsid w:val="00802B1A"/>
    <w:rsid w:val="0080615C"/>
    <w:rsid w:val="0081027F"/>
    <w:rsid w:val="0081742D"/>
    <w:rsid w:val="00821F4D"/>
    <w:rsid w:val="00823906"/>
    <w:rsid w:val="008409D3"/>
    <w:rsid w:val="00845559"/>
    <w:rsid w:val="00854DB8"/>
    <w:rsid w:val="00854EF2"/>
    <w:rsid w:val="00871F69"/>
    <w:rsid w:val="008842D0"/>
    <w:rsid w:val="00884AC4"/>
    <w:rsid w:val="0088579D"/>
    <w:rsid w:val="008A7953"/>
    <w:rsid w:val="008B3081"/>
    <w:rsid w:val="008B32D4"/>
    <w:rsid w:val="008D0020"/>
    <w:rsid w:val="008D3C38"/>
    <w:rsid w:val="008D6A05"/>
    <w:rsid w:val="008E2AE5"/>
    <w:rsid w:val="008E3F89"/>
    <w:rsid w:val="008F26CB"/>
    <w:rsid w:val="008F6509"/>
    <w:rsid w:val="008F79D9"/>
    <w:rsid w:val="009027C8"/>
    <w:rsid w:val="0093467A"/>
    <w:rsid w:val="00937CC2"/>
    <w:rsid w:val="0094155C"/>
    <w:rsid w:val="00951531"/>
    <w:rsid w:val="00960A3B"/>
    <w:rsid w:val="00967DE0"/>
    <w:rsid w:val="00971E07"/>
    <w:rsid w:val="00980944"/>
    <w:rsid w:val="00986D77"/>
    <w:rsid w:val="009943EC"/>
    <w:rsid w:val="009A32D5"/>
    <w:rsid w:val="009B6012"/>
    <w:rsid w:val="009C102D"/>
    <w:rsid w:val="009C2903"/>
    <w:rsid w:val="009C2A4F"/>
    <w:rsid w:val="009D4C59"/>
    <w:rsid w:val="009D7F91"/>
    <w:rsid w:val="009E20EF"/>
    <w:rsid w:val="009E26EE"/>
    <w:rsid w:val="009F21A2"/>
    <w:rsid w:val="00A2480F"/>
    <w:rsid w:val="00A32FBF"/>
    <w:rsid w:val="00A407EA"/>
    <w:rsid w:val="00A51749"/>
    <w:rsid w:val="00A521B6"/>
    <w:rsid w:val="00A56962"/>
    <w:rsid w:val="00A6412C"/>
    <w:rsid w:val="00A75419"/>
    <w:rsid w:val="00A76661"/>
    <w:rsid w:val="00A76D2A"/>
    <w:rsid w:val="00A82081"/>
    <w:rsid w:val="00A8557E"/>
    <w:rsid w:val="00A91181"/>
    <w:rsid w:val="00A935AC"/>
    <w:rsid w:val="00AB299E"/>
    <w:rsid w:val="00AB507C"/>
    <w:rsid w:val="00AD6E76"/>
    <w:rsid w:val="00AE3EAA"/>
    <w:rsid w:val="00AE5EDF"/>
    <w:rsid w:val="00B14F7F"/>
    <w:rsid w:val="00B16EB9"/>
    <w:rsid w:val="00B22F24"/>
    <w:rsid w:val="00B22F53"/>
    <w:rsid w:val="00B24DBE"/>
    <w:rsid w:val="00B34EB2"/>
    <w:rsid w:val="00B517C3"/>
    <w:rsid w:val="00B518B2"/>
    <w:rsid w:val="00B526EA"/>
    <w:rsid w:val="00B536FE"/>
    <w:rsid w:val="00B73FFA"/>
    <w:rsid w:val="00B874F1"/>
    <w:rsid w:val="00BC1DE7"/>
    <w:rsid w:val="00BC5AEE"/>
    <w:rsid w:val="00BD6029"/>
    <w:rsid w:val="00BE0541"/>
    <w:rsid w:val="00BE1ADB"/>
    <w:rsid w:val="00C070DE"/>
    <w:rsid w:val="00C26DFB"/>
    <w:rsid w:val="00C273FA"/>
    <w:rsid w:val="00C30D06"/>
    <w:rsid w:val="00C42067"/>
    <w:rsid w:val="00C432D0"/>
    <w:rsid w:val="00C4398E"/>
    <w:rsid w:val="00C60B4A"/>
    <w:rsid w:val="00C65BDB"/>
    <w:rsid w:val="00C71A3B"/>
    <w:rsid w:val="00C76CFA"/>
    <w:rsid w:val="00C963F8"/>
    <w:rsid w:val="00C96BB1"/>
    <w:rsid w:val="00CA2F80"/>
    <w:rsid w:val="00CB0C2A"/>
    <w:rsid w:val="00CC4B2B"/>
    <w:rsid w:val="00CC579C"/>
    <w:rsid w:val="00CC5F5F"/>
    <w:rsid w:val="00CD3460"/>
    <w:rsid w:val="00CD4B61"/>
    <w:rsid w:val="00CD5043"/>
    <w:rsid w:val="00CE2928"/>
    <w:rsid w:val="00CE314A"/>
    <w:rsid w:val="00D01C50"/>
    <w:rsid w:val="00D11B24"/>
    <w:rsid w:val="00D133C8"/>
    <w:rsid w:val="00D14DB8"/>
    <w:rsid w:val="00D244D5"/>
    <w:rsid w:val="00D2776A"/>
    <w:rsid w:val="00D413DB"/>
    <w:rsid w:val="00D420E2"/>
    <w:rsid w:val="00D4459D"/>
    <w:rsid w:val="00D573F9"/>
    <w:rsid w:val="00D6058B"/>
    <w:rsid w:val="00D63EC5"/>
    <w:rsid w:val="00D72C05"/>
    <w:rsid w:val="00D80B15"/>
    <w:rsid w:val="00D847CF"/>
    <w:rsid w:val="00DA0A99"/>
    <w:rsid w:val="00DA7603"/>
    <w:rsid w:val="00DA7E39"/>
    <w:rsid w:val="00DA7EDE"/>
    <w:rsid w:val="00DC0AB5"/>
    <w:rsid w:val="00DC50EB"/>
    <w:rsid w:val="00DD3FA0"/>
    <w:rsid w:val="00DE5B2D"/>
    <w:rsid w:val="00DE5CE9"/>
    <w:rsid w:val="00E03064"/>
    <w:rsid w:val="00E04BD5"/>
    <w:rsid w:val="00E070D2"/>
    <w:rsid w:val="00E1539C"/>
    <w:rsid w:val="00E162B6"/>
    <w:rsid w:val="00E16E01"/>
    <w:rsid w:val="00E24A50"/>
    <w:rsid w:val="00E35639"/>
    <w:rsid w:val="00E432CC"/>
    <w:rsid w:val="00E50711"/>
    <w:rsid w:val="00E60EDA"/>
    <w:rsid w:val="00E62BBC"/>
    <w:rsid w:val="00E9503C"/>
    <w:rsid w:val="00E956D9"/>
    <w:rsid w:val="00EA1958"/>
    <w:rsid w:val="00EA29F5"/>
    <w:rsid w:val="00EA482D"/>
    <w:rsid w:val="00EB5FE6"/>
    <w:rsid w:val="00EB61A5"/>
    <w:rsid w:val="00EB7A09"/>
    <w:rsid w:val="00EC5AF4"/>
    <w:rsid w:val="00ED661C"/>
    <w:rsid w:val="00EE41B5"/>
    <w:rsid w:val="00EE66C9"/>
    <w:rsid w:val="00EF11A9"/>
    <w:rsid w:val="00EF38E1"/>
    <w:rsid w:val="00EF749A"/>
    <w:rsid w:val="00EF771E"/>
    <w:rsid w:val="00EF78CF"/>
    <w:rsid w:val="00F02565"/>
    <w:rsid w:val="00F05542"/>
    <w:rsid w:val="00F17A2C"/>
    <w:rsid w:val="00F26708"/>
    <w:rsid w:val="00F511EE"/>
    <w:rsid w:val="00F558E7"/>
    <w:rsid w:val="00F62016"/>
    <w:rsid w:val="00F63F44"/>
    <w:rsid w:val="00F6746D"/>
    <w:rsid w:val="00F811CD"/>
    <w:rsid w:val="00F82D8F"/>
    <w:rsid w:val="00F83F62"/>
    <w:rsid w:val="00F9711D"/>
    <w:rsid w:val="00FA75E0"/>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Pr>
      <w:rFonts w:ascii="Cambria" w:hAnsi="Cambria" w:cs="Cambria"/>
      <w:b/>
      <w:bCs/>
      <w:kern w:val="32"/>
      <w:sz w:val="32"/>
      <w:szCs w:val="32"/>
    </w:rPr>
  </w:style>
  <w:style w:type="character" w:customStyle="1" w:styleId="Ttulo5Char">
    <w:name w:val="Título 5 Char"/>
    <w:basedOn w:val="Fontepargpadro"/>
    <w:link w:val="Ttulo5"/>
    <w:uiPriority w:val="99"/>
    <w:locked/>
    <w:rPr>
      <w:rFonts w:ascii="Calibri" w:hAnsi="Calibri" w:cs="Calibri"/>
      <w:b/>
      <w:bCs/>
      <w:i/>
      <w:iCs/>
      <w:sz w:val="26"/>
      <w:szCs w:val="26"/>
    </w:rPr>
  </w:style>
  <w:style w:type="character" w:customStyle="1" w:styleId="Ttulo6Char">
    <w:name w:val="Título 6 Char"/>
    <w:basedOn w:val="Fontepargpadro"/>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basedOn w:val="Fontepargpadro"/>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basedOn w:val="Fontepargpadro"/>
    <w:link w:val="Corpodetexto3"/>
    <w:uiPriority w:val="99"/>
    <w:locked/>
    <w:rPr>
      <w:rFonts w:cs="Times New Roman"/>
      <w:sz w:val="16"/>
      <w:szCs w:val="16"/>
    </w:rPr>
  </w:style>
  <w:style w:type="character" w:styleId="Nmerodepgina">
    <w:name w:val="page number"/>
    <w:basedOn w:val="Fontepargpadro"/>
    <w:uiPriority w:val="99"/>
    <w:rPr>
      <w:rFonts w:cs="Times New Roman"/>
    </w:rPr>
  </w:style>
  <w:style w:type="character" w:styleId="Hyperlink">
    <w:name w:val="Hyperlink"/>
    <w:basedOn w:val="Fontepargpadro"/>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basedOn w:val="Fontepargpadro"/>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basedOn w:val="Fontepargpadro"/>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basedOn w:val="Fontepargpadro"/>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basedOn w:val="Fontepargpadro"/>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basedOn w:val="Fontepargpadro"/>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basedOn w:val="Fontepargpadro"/>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basedOn w:val="Fontepargpadro"/>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basedOn w:val="Fontepargpadro"/>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basedOn w:val="Fontepargpadro"/>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basedOn w:val="Fontepargpadro"/>
    <w:link w:val="Corpo"/>
    <w:uiPriority w:val="99"/>
    <w:locked/>
    <w:rsid w:val="008D3C38"/>
    <w:rPr>
      <w:rFonts w:ascii="Courier New" w:hAnsi="Courier New" w:cs="Courier New"/>
      <w:color w:val="000000"/>
      <w:sz w:val="24"/>
      <w:szCs w:val="24"/>
      <w:lang w:val="en-US" w:eastAsia="pt-BR" w:bidi="ar-SA"/>
    </w:rPr>
  </w:style>
  <w:style w:type="paragraph" w:customStyle="1" w:styleId="INFORMATIVO">
    <w:name w:val="INFORMATIVO"/>
    <w:basedOn w:val="Normal"/>
    <w:link w:val="INFORMATIVOChar"/>
    <w:qFormat/>
    <w:rsid w:val="00D80B15"/>
    <w:pPr>
      <w:jc w:val="both"/>
    </w:pPr>
    <w:rPr>
      <w:rFonts w:cs="Courier New"/>
      <w:b/>
      <w:bCs/>
      <w:i/>
      <w:iCs/>
      <w:color w:val="000000"/>
      <w:sz w:val="24"/>
      <w:szCs w:val="24"/>
    </w:rPr>
  </w:style>
  <w:style w:type="character" w:customStyle="1" w:styleId="INFORMATIVOChar">
    <w:name w:val="INFORMATIVO Char"/>
    <w:basedOn w:val="Fontepargpadro"/>
    <w:link w:val="INFORMATIVO"/>
    <w:rsid w:val="00D80B15"/>
    <w:rPr>
      <w:rFonts w:ascii="Times New Roman" w:hAnsi="Times New Roman" w:cs="Courier New"/>
      <w:b/>
      <w:bCs/>
      <w:i/>
      <w:iCs/>
      <w:color w:val="000000"/>
      <w:sz w:val="24"/>
      <w:szCs w:val="24"/>
    </w:rPr>
  </w:style>
  <w:style w:type="character" w:styleId="HiperlinkVisitado">
    <w:name w:val="FollowedHyperlink"/>
    <w:basedOn w:val="Fontepargpadro"/>
    <w:uiPriority w:val="99"/>
    <w:semiHidden/>
    <w:unhideWhenUsed/>
    <w:rsid w:val="00345B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921976">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xt02.tst.jus.br/pls/ap01/ap_red100.resumo?num_int=116070&amp;ano_int=2010&amp;qtd_acesso=2681781&amp;novoportal=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xt02.tst.jus.br/pls/ap01/ap_red100.resumo?num_int=154403&amp;ano_int=2011&amp;qtd_acesso=3635379&amp;novoportal=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t02.tst.jus.br/pls/ap01/ap_red100.resumo?num_int=101770&amp;ano_int=2011&amp;qtd_acesso=2424393&amp;novoportal=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xt02.tst.jus.br/pls/ap01/ap_red100.resumo?num_int=6499&amp;ano_int=2003&amp;qtd_acesso=973011&amp;novoportal=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t02.tst.jus.br/pls/ap01/ap_red100.resumo?num_int=33298&amp;ano_int=2011&amp;qtd_acesso=1191897&amp;novoportal=1%5d"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246C6-9177-48F5-A664-0B0D4895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1155</Words>
  <Characters>6239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7380</CharactersWithSpaces>
  <SharedDoc>false</SharedDoc>
  <HLinks>
    <vt:vector size="30" baseType="variant">
      <vt:variant>
        <vt:i4>3276853</vt:i4>
      </vt:variant>
      <vt:variant>
        <vt:i4>12</vt:i4>
      </vt:variant>
      <vt:variant>
        <vt:i4>0</vt:i4>
      </vt:variant>
      <vt:variant>
        <vt:i4>5</vt:i4>
      </vt:variant>
      <vt:variant>
        <vt:lpwstr>http://ext02.tst.jus.br/pls/ap01/ap_red100.resumo?num_int=154403&amp;ano_int=2011&amp;qtd_acesso=3635379&amp;novoportal=1</vt:lpwstr>
      </vt:variant>
      <vt:variant>
        <vt:lpwstr/>
      </vt:variant>
      <vt:variant>
        <vt:i4>3997754</vt:i4>
      </vt:variant>
      <vt:variant>
        <vt:i4>9</vt:i4>
      </vt:variant>
      <vt:variant>
        <vt:i4>0</vt:i4>
      </vt:variant>
      <vt:variant>
        <vt:i4>5</vt:i4>
      </vt:variant>
      <vt:variant>
        <vt:lpwstr>http://ext02.tst.jus.br/pls/ap01/ap_red100.resumo?num_int=101770&amp;ano_int=2011&amp;qtd_acesso=2424393&amp;novoportal=1</vt:lpwstr>
      </vt:variant>
      <vt:variant>
        <vt:lpwstr/>
      </vt:variant>
      <vt:variant>
        <vt:i4>1769496</vt:i4>
      </vt:variant>
      <vt:variant>
        <vt:i4>6</vt:i4>
      </vt:variant>
      <vt:variant>
        <vt:i4>0</vt:i4>
      </vt:variant>
      <vt:variant>
        <vt:i4>5</vt:i4>
      </vt:variant>
      <vt:variant>
        <vt:lpwstr>http://ext02.tst.jus.br/pls/ap01/ap_red100.resumo?num_int=6499&amp;ano_int=2003&amp;qtd_acesso=973011&amp;novoportal=1</vt:lpwstr>
      </vt:variant>
      <vt:variant>
        <vt:lpwstr/>
      </vt:variant>
      <vt:variant>
        <vt:i4>5374016</vt:i4>
      </vt:variant>
      <vt:variant>
        <vt:i4>3</vt:i4>
      </vt:variant>
      <vt:variant>
        <vt:i4>0</vt:i4>
      </vt:variant>
      <vt:variant>
        <vt:i4>5</vt:i4>
      </vt:variant>
      <vt:variant>
        <vt:lpwstr>http://ext02.tst.jus.br/pls/ap01/ap_red100.resumo?num_int=33298&amp;ano_int=2011&amp;qtd_acesso=1191897&amp;novoportal=1%5d</vt:lpwstr>
      </vt:variant>
      <vt:variant>
        <vt:lpwstr/>
      </vt:variant>
      <vt:variant>
        <vt:i4>3604538</vt:i4>
      </vt:variant>
      <vt:variant>
        <vt:i4>0</vt:i4>
      </vt:variant>
      <vt:variant>
        <vt:i4>0</vt:i4>
      </vt:variant>
      <vt:variant>
        <vt:i4>5</vt:i4>
      </vt:variant>
      <vt:variant>
        <vt:lpwstr>http://ext02.tst.jus.br/pls/ap01/ap_red100.resumo?num_int=116070&amp;ano_int=2010&amp;qtd_acesso=2681781&amp;novoportal=1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dc:description/>
  <cp:lastModifiedBy>c041658</cp:lastModifiedBy>
  <cp:revision>2</cp:revision>
  <cp:lastPrinted>2012-03-09T15:01:00Z</cp:lastPrinted>
  <dcterms:created xsi:type="dcterms:W3CDTF">2018-06-27T22:30:00Z</dcterms:created>
  <dcterms:modified xsi:type="dcterms:W3CDTF">2018-06-27T22:30:00Z</dcterms:modified>
</cp:coreProperties>
</file>