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0228E6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0228E6" w:rsidRPr="00C90C30" w:rsidRDefault="000228E6" w:rsidP="00EA29F5">
      <w:pPr>
        <w:pStyle w:val="Corpodetexto2"/>
        <w:jc w:val="center"/>
        <w:rPr>
          <w:b/>
          <w:bCs/>
          <w:emboss/>
          <w:sz w:val="20"/>
          <w:szCs w:val="20"/>
        </w:rPr>
      </w:pPr>
    </w:p>
    <w:p w:rsidR="00C90C30" w:rsidRPr="00C616AB" w:rsidRDefault="00C90C30" w:rsidP="00C90C30">
      <w:pPr>
        <w:pStyle w:val="Default"/>
        <w:jc w:val="both"/>
      </w:pPr>
      <w:r w:rsidRPr="00C616AB">
        <w:rPr>
          <w:b/>
          <w:bCs/>
          <w:i/>
          <w:iCs/>
        </w:rPr>
        <w:t>MS. Ato da Vice-Presidente</w:t>
      </w:r>
      <w:r>
        <w:rPr>
          <w:b/>
          <w:bCs/>
          <w:i/>
          <w:iCs/>
        </w:rPr>
        <w:t xml:space="preserve"> do TRT </w:t>
      </w:r>
      <w:r w:rsidRPr="00C616AB">
        <w:rPr>
          <w:b/>
          <w:bCs/>
          <w:i/>
          <w:iCs/>
        </w:rPr>
        <w:t xml:space="preserve">que determinou o desconto em folha em face do acórdão proferido pelo TCU. Legitimidade </w:t>
      </w:r>
      <w:r>
        <w:rPr>
          <w:b/>
          <w:bCs/>
          <w:i/>
          <w:iCs/>
        </w:rPr>
        <w:t>para figurar como</w:t>
      </w:r>
      <w:r w:rsidRPr="00C616AB">
        <w:rPr>
          <w:b/>
          <w:bCs/>
          <w:i/>
          <w:iCs/>
        </w:rPr>
        <w:t xml:space="preserve"> autoridade coatora. </w:t>
      </w:r>
    </w:p>
    <w:p w:rsidR="00C90C30" w:rsidRPr="00C616AB" w:rsidRDefault="00C90C30" w:rsidP="00C90C30">
      <w:pPr>
        <w:jc w:val="both"/>
        <w:rPr>
          <w:sz w:val="24"/>
          <w:szCs w:val="24"/>
          <w:u w:val="single"/>
        </w:rPr>
      </w:pPr>
      <w:r w:rsidRPr="00C616AB">
        <w:rPr>
          <w:sz w:val="24"/>
          <w:szCs w:val="24"/>
        </w:rPr>
        <w:t xml:space="preserve">A Vice-Presidente do TRT, no exercício da Presidência, detém legitimidade para figurar como autoridade coatora em </w:t>
      </w:r>
      <w:r>
        <w:rPr>
          <w:sz w:val="24"/>
          <w:szCs w:val="24"/>
        </w:rPr>
        <w:t>m</w:t>
      </w:r>
      <w:r w:rsidRPr="00C616AB">
        <w:rPr>
          <w:sz w:val="24"/>
          <w:szCs w:val="24"/>
        </w:rPr>
        <w:t xml:space="preserve">andado de </w:t>
      </w:r>
      <w:r>
        <w:rPr>
          <w:sz w:val="24"/>
          <w:szCs w:val="24"/>
        </w:rPr>
        <w:t>s</w:t>
      </w:r>
      <w:r w:rsidRPr="00C616AB">
        <w:rPr>
          <w:sz w:val="24"/>
          <w:szCs w:val="24"/>
        </w:rPr>
        <w:t>egurança impetrado</w:t>
      </w:r>
      <w:r>
        <w:rPr>
          <w:sz w:val="24"/>
          <w:szCs w:val="24"/>
        </w:rPr>
        <w:t xml:space="preserve"> com o objetivo de</w:t>
      </w:r>
      <w:r w:rsidRPr="00C616AB">
        <w:rPr>
          <w:sz w:val="24"/>
          <w:szCs w:val="24"/>
        </w:rPr>
        <w:t xml:space="preserve"> impugnar o ato que, com fundamento em decisão proferida pelo Tribunal de Contas da União, determinou o desconto mensal de 10% dos vencimentos de cada impetrante, </w:t>
      </w:r>
      <w:r>
        <w:rPr>
          <w:sz w:val="24"/>
          <w:szCs w:val="24"/>
        </w:rPr>
        <w:t xml:space="preserve">por terem auferido, </w:t>
      </w:r>
      <w:r w:rsidRPr="00C616AB">
        <w:rPr>
          <w:sz w:val="24"/>
          <w:szCs w:val="24"/>
        </w:rPr>
        <w:t>indevidamente</w:t>
      </w:r>
      <w:r>
        <w:rPr>
          <w:sz w:val="24"/>
          <w:szCs w:val="24"/>
        </w:rPr>
        <w:t>,</w:t>
      </w:r>
      <w:r w:rsidRPr="00C616AB">
        <w:rPr>
          <w:sz w:val="24"/>
          <w:szCs w:val="24"/>
        </w:rPr>
        <w:t xml:space="preserve"> valor</w:t>
      </w:r>
      <w:r>
        <w:rPr>
          <w:sz w:val="24"/>
          <w:szCs w:val="24"/>
        </w:rPr>
        <w:t>es</w:t>
      </w:r>
      <w:r w:rsidRPr="00C616AB">
        <w:rPr>
          <w:sz w:val="24"/>
          <w:szCs w:val="24"/>
        </w:rPr>
        <w:t xml:space="preserve"> a título de incorporação do índice de URP de fevereiro de 19</w:t>
      </w:r>
      <w:r>
        <w:rPr>
          <w:sz w:val="24"/>
          <w:szCs w:val="24"/>
        </w:rPr>
        <w:t>89</w:t>
      </w:r>
      <w:r w:rsidRPr="00C616AB">
        <w:rPr>
          <w:sz w:val="24"/>
          <w:szCs w:val="24"/>
        </w:rPr>
        <w:t>.  Ressaltou-se que, no caso, não se discute o acerto ou desacerto da decisão do T</w:t>
      </w:r>
      <w:r>
        <w:rPr>
          <w:sz w:val="24"/>
          <w:szCs w:val="24"/>
        </w:rPr>
        <w:t xml:space="preserve">ribunal de </w:t>
      </w:r>
      <w:r w:rsidRPr="00C616AB">
        <w:rPr>
          <w:sz w:val="24"/>
          <w:szCs w:val="24"/>
        </w:rPr>
        <w:t>C</w:t>
      </w:r>
      <w:r>
        <w:rPr>
          <w:sz w:val="24"/>
          <w:szCs w:val="24"/>
        </w:rPr>
        <w:t xml:space="preserve">ontas da </w:t>
      </w:r>
      <w:r w:rsidRPr="00C616AB">
        <w:rPr>
          <w:sz w:val="24"/>
          <w:szCs w:val="24"/>
        </w:rPr>
        <w:t>U</w:t>
      </w:r>
      <w:r>
        <w:rPr>
          <w:sz w:val="24"/>
          <w:szCs w:val="24"/>
        </w:rPr>
        <w:t>nião</w:t>
      </w:r>
      <w:r w:rsidRPr="00C616AB">
        <w:rPr>
          <w:sz w:val="24"/>
          <w:szCs w:val="24"/>
        </w:rPr>
        <w:t xml:space="preserve">, e sim o ato </w:t>
      </w:r>
      <w:r>
        <w:rPr>
          <w:sz w:val="24"/>
          <w:szCs w:val="24"/>
        </w:rPr>
        <w:t xml:space="preserve">emanado da Presidência do Regional no exercício de sua competência administrativa para dar plena execução à decisão do TCU. Assim, o Órgão Especial, por maioria, negou provimento ao reexame necessário e ao recurso ordinário, vencido o Ministro Ives Gandra Martins Filho que, de ofício, reconhecia a incompetência da Justiça do Trabalho para julgar o mandado de segurança.  </w:t>
      </w:r>
      <w:hyperlink r:id="rId8" w:history="1">
        <w:r w:rsidRPr="009D7C01">
          <w:rPr>
            <w:rStyle w:val="Hyperlink"/>
            <w:sz w:val="24"/>
            <w:szCs w:val="24"/>
          </w:rPr>
          <w:t>TST-ReeNec e RO-876-57.2011.5.14.0000</w:t>
        </w:r>
      </w:hyperlink>
      <w:r w:rsidRPr="00C616AB">
        <w:rPr>
          <w:sz w:val="24"/>
          <w:szCs w:val="24"/>
          <w:u w:val="single"/>
        </w:rPr>
        <w:t xml:space="preserve">, Órgão Especial, rel. Min. </w:t>
      </w:r>
      <w:r>
        <w:rPr>
          <w:sz w:val="24"/>
          <w:szCs w:val="24"/>
          <w:u w:val="single"/>
        </w:rPr>
        <w:t xml:space="preserve">Guilherme Augusto </w:t>
      </w:r>
      <w:r w:rsidRPr="00C616AB">
        <w:rPr>
          <w:sz w:val="24"/>
          <w:szCs w:val="24"/>
          <w:u w:val="single"/>
        </w:rPr>
        <w:t>Caputo Bastos, 4.</w:t>
      </w:r>
      <w:r>
        <w:rPr>
          <w:sz w:val="24"/>
          <w:szCs w:val="24"/>
          <w:u w:val="single"/>
        </w:rPr>
        <w:t>3</w:t>
      </w:r>
      <w:r w:rsidRPr="00C616AB">
        <w:rPr>
          <w:sz w:val="24"/>
          <w:szCs w:val="24"/>
          <w:u w:val="single"/>
        </w:rPr>
        <w:t>.2013</w:t>
      </w:r>
    </w:p>
    <w:p w:rsidR="00C71A3B" w:rsidRPr="00C90C30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C90C30" w:rsidRDefault="00FE00AD" w:rsidP="00F82D8F">
      <w:pPr>
        <w:pStyle w:val="Corpodetexto2"/>
        <w:jc w:val="center"/>
        <w:rPr>
          <w:b/>
          <w:bCs/>
          <w:emboss/>
          <w:sz w:val="20"/>
          <w:szCs w:val="20"/>
        </w:rPr>
      </w:pPr>
    </w:p>
    <w:p w:rsidR="009F05FD" w:rsidRDefault="009F05FD" w:rsidP="009F05FD">
      <w:pPr>
        <w:ind w:right="-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Depósito recursal. Agravo de instrumento interposto antes da vigência da Lei nº 12.275/10. Interposição de recurso de embargos na vigência da referida lei. Inexigibilidade de posterior pagamento do depósito previsto no art. 899, § 7º, da CLT.</w:t>
      </w:r>
    </w:p>
    <w:p w:rsidR="009F05FD" w:rsidRDefault="009F05FD" w:rsidP="009F05FD">
      <w:pPr>
        <w:ind w:right="-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Interposto agravo de instrumento antes da vigência da Lei nº 12.275/10, fica a parte agravante dispensada de efetuar o depósito recursal previsto no § 7º do art. 899 da CLT quando da interposição dos recursos subsequentes, ainda que apresentados em momento posterior ao advento da referida lei. Na hipótese, ressaltou-se que a alteração legislativa é pertinente ao preparo do agravo de instrumento, restando inexigível o depósito recursal quando da interposição dos embargos, sob pena de se fazer retroagir a lei sobre ato processual já praticado e gerar insegurança jurídica. Com base nesse entendimento, a SBDI-I, por maioria, deu provimento ao agravo para, afastada a deserção, determinar o processamento do recurso de embargos. Vencido o Ministro Ives Gandra Martins Filho, relator. </w:t>
      </w:r>
      <w:hyperlink r:id="rId9" w:history="1">
        <w:r w:rsidRPr="000447F4">
          <w:rPr>
            <w:rStyle w:val="Hyperlink"/>
            <w:sz w:val="24"/>
            <w:szCs w:val="24"/>
          </w:rPr>
          <w:t>TST-Ag-E-ED-ED-AIRR-40140-31.2004.5.01.0019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SBDI-I, rel. Min. Ives Gandra Martins Filho, 28.2.2013</w:t>
      </w:r>
    </w:p>
    <w:p w:rsidR="009F05FD" w:rsidRPr="009F05FD" w:rsidRDefault="009F05FD" w:rsidP="009F05FD">
      <w:pPr>
        <w:ind w:right="-142"/>
        <w:jc w:val="both"/>
        <w:rPr>
          <w:b/>
          <w:i/>
        </w:rPr>
      </w:pPr>
    </w:p>
    <w:p w:rsidR="009F05FD" w:rsidRDefault="00DC25FF" w:rsidP="009F05FD">
      <w:pPr>
        <w:ind w:right="-142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Estabilidade provisória do art.</w:t>
      </w:r>
      <w:r w:rsidRPr="00F428EA">
        <w:rPr>
          <w:b/>
          <w:i/>
          <w:sz w:val="24"/>
          <w:szCs w:val="24"/>
        </w:rPr>
        <w:t xml:space="preserve"> 55 da Lei 5.764/71.</w:t>
      </w:r>
      <w:r>
        <w:rPr>
          <w:b/>
          <w:i/>
          <w:sz w:val="24"/>
          <w:szCs w:val="24"/>
        </w:rPr>
        <w:t xml:space="preserve"> </w:t>
      </w:r>
      <w:r w:rsidR="009F05FD" w:rsidRPr="00F428EA">
        <w:rPr>
          <w:b/>
          <w:i/>
          <w:sz w:val="24"/>
          <w:szCs w:val="24"/>
        </w:rPr>
        <w:t>Membro de Conselho de Administração de Cooperativa.</w:t>
      </w:r>
      <w:r w:rsidR="009F05FD">
        <w:rPr>
          <w:b/>
          <w:i/>
          <w:sz w:val="24"/>
          <w:szCs w:val="24"/>
        </w:rPr>
        <w:t xml:space="preserve"> Exercício de funções diretivas.</w:t>
      </w:r>
      <w:r w:rsidR="009F05FD" w:rsidRPr="00F428EA">
        <w:rPr>
          <w:b/>
          <w:sz w:val="24"/>
          <w:szCs w:val="24"/>
        </w:rPr>
        <w:t xml:space="preserve">  </w:t>
      </w:r>
    </w:p>
    <w:p w:rsidR="009F05FD" w:rsidRPr="00FA397E" w:rsidRDefault="009F05FD" w:rsidP="009F05FD">
      <w:pPr>
        <w:ind w:right="-142"/>
        <w:jc w:val="both"/>
        <w:rPr>
          <w:sz w:val="24"/>
          <w:szCs w:val="24"/>
        </w:rPr>
      </w:pPr>
      <w:r w:rsidRPr="002B48CA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membro de Conselho de Administração de sociedade cooperativa faz jus à estabilidade provisória de que trata o art. 55 da Lei nº 5.764/71, desde que exerça também funções diretivas. Com esse entendimento, a SBDI-I, por unanimidade, conheceu dos embargos, por divergência jurisprudencial e, no mérito, por maioria, deu-lhes provimento para restabelecer a decisão do TRT que, mantendo a sentença, reconheceu a estabilidade pretendida pelo reclamante. Vencidos os Ministros Renato de Lacerda Paiva e Maria Cristina Irigoyen Peduzzi. </w:t>
      </w:r>
      <w:hyperlink r:id="rId10" w:history="1">
        <w:r w:rsidRPr="000447F4">
          <w:rPr>
            <w:rStyle w:val="Hyperlink"/>
            <w:sz w:val="24"/>
            <w:szCs w:val="24"/>
          </w:rPr>
          <w:t>TST-E-RR-1409976-74.2004.5.01.0900</w:t>
        </w:r>
      </w:hyperlink>
      <w:r w:rsidRPr="00FA397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SBDI-I, rel. Min. </w:t>
      </w:r>
      <w:r w:rsidRPr="00FA397E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>e</w:t>
      </w:r>
      <w:r w:rsidRPr="00FA397E">
        <w:rPr>
          <w:sz w:val="24"/>
          <w:szCs w:val="24"/>
          <w:u w:val="single"/>
        </w:rPr>
        <w:t>lio Bentes Côrrea, 28.2.2013</w:t>
      </w:r>
    </w:p>
    <w:p w:rsidR="002C2904" w:rsidRPr="009F05FD" w:rsidRDefault="002C2904" w:rsidP="009F05FD">
      <w:pPr>
        <w:ind w:right="-142"/>
        <w:jc w:val="both"/>
      </w:pPr>
    </w:p>
    <w:p w:rsidR="009F05FD" w:rsidRDefault="009F05FD" w:rsidP="009F05FD">
      <w:pPr>
        <w:ind w:right="-142"/>
        <w:jc w:val="both"/>
        <w:rPr>
          <w:b/>
          <w:i/>
          <w:sz w:val="24"/>
          <w:szCs w:val="24"/>
        </w:rPr>
      </w:pPr>
      <w:r w:rsidRPr="002D0AE7">
        <w:rPr>
          <w:b/>
          <w:i/>
          <w:sz w:val="24"/>
          <w:szCs w:val="24"/>
        </w:rPr>
        <w:lastRenderedPageBreak/>
        <w:t>CEF.</w:t>
      </w:r>
      <w:r>
        <w:rPr>
          <w:b/>
          <w:i/>
          <w:sz w:val="24"/>
          <w:szCs w:val="24"/>
        </w:rPr>
        <w:t xml:space="preserve"> Supressão de g</w:t>
      </w:r>
      <w:r w:rsidRPr="002D0AE7">
        <w:rPr>
          <w:b/>
          <w:i/>
          <w:sz w:val="24"/>
          <w:szCs w:val="24"/>
        </w:rPr>
        <w:t xml:space="preserve">ratificação de função. Adicional compensatório. </w:t>
      </w:r>
      <w:r>
        <w:rPr>
          <w:b/>
          <w:i/>
          <w:sz w:val="24"/>
          <w:szCs w:val="24"/>
        </w:rPr>
        <w:t xml:space="preserve">Nova gratificação. </w:t>
      </w:r>
      <w:r w:rsidRPr="002D0AE7">
        <w:rPr>
          <w:b/>
          <w:i/>
          <w:sz w:val="24"/>
          <w:szCs w:val="24"/>
        </w:rPr>
        <w:t xml:space="preserve">Cumulação. Impossibilidade. </w:t>
      </w:r>
    </w:p>
    <w:p w:rsidR="009F05FD" w:rsidRPr="002D0AE7" w:rsidRDefault="009F05FD" w:rsidP="009F05FD">
      <w:pPr>
        <w:ind w:right="-142"/>
        <w:jc w:val="both"/>
        <w:rPr>
          <w:b/>
          <w:i/>
          <w:sz w:val="24"/>
          <w:szCs w:val="24"/>
        </w:rPr>
      </w:pPr>
      <w:r w:rsidRPr="00A9521B">
        <w:rPr>
          <w:sz w:val="24"/>
          <w:szCs w:val="24"/>
        </w:rPr>
        <w:t xml:space="preserve">Não é possível </w:t>
      </w:r>
      <w:r>
        <w:rPr>
          <w:sz w:val="24"/>
          <w:szCs w:val="24"/>
        </w:rPr>
        <w:t xml:space="preserve">cumular o adicional compensatório, estipulado em norma interna da Caixa Econômica Federal (CEF) e pago em razão da supressão de gratificação de função exercida por mais de dez anos, com a gratificação correspondente ao desempenho de nova função de confiança, sendo devida tão somente a diferença entre o adicional e a gratificação atualmente percebida. Na hipótese, ressaltou-se que a acumulação, ao invés de assegurar o princípio da estabilidade econômica, geraria um "plus” em razão de sucessivas incorporações. </w:t>
      </w:r>
      <w:r w:rsidRPr="002D0AE7">
        <w:rPr>
          <w:sz w:val="24"/>
          <w:szCs w:val="24"/>
        </w:rPr>
        <w:t>Com esse entendimento, a SBDI-</w:t>
      </w:r>
      <w:r>
        <w:rPr>
          <w:sz w:val="24"/>
          <w:szCs w:val="24"/>
        </w:rPr>
        <w:t>I</w:t>
      </w:r>
      <w:r w:rsidRPr="002D0AE7">
        <w:rPr>
          <w:sz w:val="24"/>
          <w:szCs w:val="24"/>
        </w:rPr>
        <w:t>, por unanimidade, conheceu do</w:t>
      </w:r>
      <w:r>
        <w:rPr>
          <w:sz w:val="24"/>
          <w:szCs w:val="24"/>
        </w:rPr>
        <w:t>s embargos</w:t>
      </w:r>
      <w:r w:rsidRPr="002D0AE7">
        <w:rPr>
          <w:sz w:val="24"/>
          <w:szCs w:val="24"/>
        </w:rPr>
        <w:t>,</w:t>
      </w:r>
      <w:r>
        <w:rPr>
          <w:sz w:val="24"/>
          <w:szCs w:val="24"/>
        </w:rPr>
        <w:t xml:space="preserve"> por divergência jurisprudencial,</w:t>
      </w:r>
      <w:r w:rsidRPr="002D0AE7">
        <w:rPr>
          <w:sz w:val="24"/>
          <w:szCs w:val="24"/>
        </w:rPr>
        <w:t xml:space="preserve"> e, no mérito, por maioria, negou-lhe</w:t>
      </w:r>
      <w:r>
        <w:rPr>
          <w:sz w:val="24"/>
          <w:szCs w:val="24"/>
        </w:rPr>
        <w:t>s</w:t>
      </w:r>
      <w:r w:rsidRPr="002D0AE7">
        <w:rPr>
          <w:sz w:val="24"/>
          <w:szCs w:val="24"/>
        </w:rPr>
        <w:t xml:space="preserve"> provimento</w:t>
      </w:r>
      <w:r>
        <w:rPr>
          <w:sz w:val="24"/>
          <w:szCs w:val="24"/>
        </w:rPr>
        <w:t>. V</w:t>
      </w:r>
      <w:r w:rsidRPr="002D0AE7">
        <w:rPr>
          <w:sz w:val="24"/>
          <w:szCs w:val="24"/>
        </w:rPr>
        <w:t>encidos os Ministros Brito Pereira, relator, Alberto</w:t>
      </w:r>
      <w:r>
        <w:rPr>
          <w:sz w:val="24"/>
          <w:szCs w:val="24"/>
        </w:rPr>
        <w:t xml:space="preserve"> Luiz</w:t>
      </w:r>
      <w:r w:rsidRPr="002D0AE7">
        <w:rPr>
          <w:sz w:val="24"/>
          <w:szCs w:val="24"/>
        </w:rPr>
        <w:t xml:space="preserve"> Bresciani</w:t>
      </w:r>
      <w:r>
        <w:rPr>
          <w:sz w:val="24"/>
          <w:szCs w:val="24"/>
        </w:rPr>
        <w:t xml:space="preserve"> de Fontan Pereira</w:t>
      </w:r>
      <w:r w:rsidRPr="002D0AE7">
        <w:rPr>
          <w:sz w:val="24"/>
          <w:szCs w:val="24"/>
        </w:rPr>
        <w:t xml:space="preserve">, José Roberto Freire Pimenta e Delaíde Miranda Arantes. </w:t>
      </w:r>
      <w:hyperlink r:id="rId11" w:history="1">
        <w:r w:rsidRPr="000447F4">
          <w:rPr>
            <w:rStyle w:val="Hyperlink"/>
            <w:sz w:val="24"/>
            <w:szCs w:val="24"/>
          </w:rPr>
          <w:t>TST-E-ED-RR-65600-67.2008.5.07.0001</w:t>
        </w:r>
      </w:hyperlink>
      <w:r w:rsidRPr="002D0AE7">
        <w:rPr>
          <w:sz w:val="24"/>
          <w:szCs w:val="24"/>
          <w:u w:val="single"/>
        </w:rPr>
        <w:t>, SBDI-I, rel. Min. Brito Pereira, red. p/ o acórdão Min. Luiz Philippe Vieira de Mello Filho. 28.2.2013</w:t>
      </w:r>
    </w:p>
    <w:p w:rsidR="00977B1C" w:rsidRPr="009F05FD" w:rsidRDefault="00977B1C" w:rsidP="009F05FD">
      <w:pPr>
        <w:ind w:right="-142"/>
        <w:jc w:val="both"/>
        <w:rPr>
          <w:u w:val="single"/>
        </w:rPr>
      </w:pPr>
    </w:p>
    <w:p w:rsidR="00977B1C" w:rsidRDefault="00977B1C" w:rsidP="00977B1C">
      <w:pPr>
        <w:ind w:right="-142"/>
        <w:jc w:val="both"/>
        <w:rPr>
          <w:b/>
          <w:i/>
          <w:sz w:val="24"/>
          <w:szCs w:val="24"/>
        </w:rPr>
      </w:pPr>
      <w:r w:rsidRPr="00697A1C">
        <w:rPr>
          <w:b/>
          <w:i/>
          <w:sz w:val="24"/>
          <w:szCs w:val="24"/>
        </w:rPr>
        <w:t>Feriado forense</w:t>
      </w:r>
      <w:r>
        <w:rPr>
          <w:b/>
          <w:i/>
          <w:sz w:val="24"/>
          <w:szCs w:val="24"/>
        </w:rPr>
        <w:t xml:space="preserve">. Comprovação em sede de embargos. Interpretação da nova redação da Súmula nº 385 do TST. </w:t>
      </w:r>
    </w:p>
    <w:p w:rsidR="00977B1C" w:rsidRDefault="00977B1C" w:rsidP="00977B1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obstante o item III da Súmula nº 385 do TST estabelecer a possibilidade de reconsideração da análise da tempestividade do recurso, por meio de prova documental superveniente, em sede de agravo regimental, agravo de instrumento ou embargos de declaração, é possível à parte provar a ausência de expediente forense em embargos. Na hipótese, prevaleceu o entendimento de que o item III da Súmula nº 385 do TST não pode ser interpretado de forma dissociada de seu item II, de modo que, descumprida a obrigação de a autoridade judiciária certificar a ocorrência de feriado, a possibilidade de reforma da decisão que declarou a intempestividade do recurso de revista não se inviabiliza pelo simples fato de a parte não ter juntado a certidão em sede de embargos de declaração. Com esses fundamentos, a SBDI-I decidiu, </w:t>
      </w:r>
      <w:r w:rsidRPr="00162C93">
        <w:rPr>
          <w:sz w:val="24"/>
          <w:szCs w:val="24"/>
        </w:rPr>
        <w:t>por maioria, conhecer do recurso de embargos</w:t>
      </w:r>
      <w:r>
        <w:rPr>
          <w:sz w:val="24"/>
          <w:szCs w:val="24"/>
        </w:rPr>
        <w:t xml:space="preserve"> interposto antes da vigência da Lei nº 11.496/2007,</w:t>
      </w:r>
      <w:r w:rsidRPr="00162C93">
        <w:rPr>
          <w:sz w:val="24"/>
          <w:szCs w:val="24"/>
        </w:rPr>
        <w:t xml:space="preserve"> por violação do art</w:t>
      </w:r>
      <w:r>
        <w:rPr>
          <w:sz w:val="24"/>
          <w:szCs w:val="24"/>
        </w:rPr>
        <w:t>.</w:t>
      </w:r>
      <w:r w:rsidRPr="00162C93">
        <w:rPr>
          <w:sz w:val="24"/>
          <w:szCs w:val="24"/>
        </w:rPr>
        <w:t xml:space="preserve"> 184, § 2º, do CPC, e, no mérito, por unanimidade, dar-lhe provimento para determinar o retorno dos autos à Turma</w:t>
      </w:r>
      <w:r>
        <w:rPr>
          <w:sz w:val="24"/>
          <w:szCs w:val="24"/>
        </w:rPr>
        <w:t xml:space="preserve"> de origem</w:t>
      </w:r>
      <w:r w:rsidRPr="00162C93">
        <w:rPr>
          <w:sz w:val="24"/>
          <w:szCs w:val="24"/>
        </w:rPr>
        <w:t>, a fim de que prossiga no exame do recurso de revista interposto pelo Município do Rio de Janeiro, como entender de direito, afastada a intempestividade do apelo.</w:t>
      </w:r>
      <w:r>
        <w:rPr>
          <w:sz w:val="24"/>
          <w:szCs w:val="24"/>
        </w:rPr>
        <w:t xml:space="preserve"> V</w:t>
      </w:r>
      <w:r w:rsidRPr="00162C93">
        <w:rPr>
          <w:sz w:val="24"/>
          <w:szCs w:val="24"/>
        </w:rPr>
        <w:t xml:space="preserve">encidos os Ministros Renato de Lacerda Paiva e Augusto César </w:t>
      </w:r>
      <w:r>
        <w:rPr>
          <w:sz w:val="24"/>
          <w:szCs w:val="24"/>
        </w:rPr>
        <w:t xml:space="preserve">Leite </w:t>
      </w:r>
      <w:r w:rsidRPr="00162C93">
        <w:rPr>
          <w:sz w:val="24"/>
          <w:szCs w:val="24"/>
        </w:rPr>
        <w:t>de Carvalho</w:t>
      </w:r>
      <w:r>
        <w:rPr>
          <w:sz w:val="24"/>
          <w:szCs w:val="24"/>
        </w:rPr>
        <w:t xml:space="preserve">, que não conheciam dos embargos ao fundamento de que, ao não opor embargos de declaração com o objetivo de trazer a prova da ausência de expediente forense, a parte perdeu o momento processual oportuno para se manifestar. </w:t>
      </w:r>
      <w:hyperlink r:id="rId12" w:history="1">
        <w:r w:rsidRPr="000447F4">
          <w:rPr>
            <w:rStyle w:val="Hyperlink"/>
            <w:sz w:val="24"/>
            <w:szCs w:val="24"/>
          </w:rPr>
          <w:t>TST-E-RR-721145-82.2001.5.01.0018</w:t>
        </w:r>
      </w:hyperlink>
      <w:r w:rsidRPr="001E650A">
        <w:rPr>
          <w:sz w:val="24"/>
          <w:szCs w:val="24"/>
          <w:u w:val="single"/>
        </w:rPr>
        <w:t xml:space="preserve">, </w:t>
      </w:r>
      <w:r w:rsidRPr="001F4DE8">
        <w:rPr>
          <w:sz w:val="24"/>
          <w:szCs w:val="24"/>
          <w:u w:val="single"/>
        </w:rPr>
        <w:t>SBDI-I</w:t>
      </w:r>
      <w:r w:rsidRPr="001E650A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Lelio Bentes Corrêa</w:t>
      </w:r>
      <w:r w:rsidRPr="001E650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28</w:t>
      </w:r>
      <w:r w:rsidRPr="001E650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</w:t>
      </w:r>
      <w:r w:rsidRPr="001E650A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3</w:t>
      </w:r>
    </w:p>
    <w:p w:rsidR="00977B1C" w:rsidRPr="005D1DE4" w:rsidRDefault="00977B1C" w:rsidP="00977B1C">
      <w:pPr>
        <w:ind w:right="-71"/>
        <w:jc w:val="both"/>
      </w:pP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0A" w:rsidRDefault="00A5470A">
      <w:r>
        <w:separator/>
      </w:r>
    </w:p>
  </w:endnote>
  <w:endnote w:type="continuationSeparator" w:id="0">
    <w:p w:rsidR="00A5470A" w:rsidRDefault="00A5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1F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F51FD3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0A" w:rsidRDefault="00A5470A">
      <w:r>
        <w:separator/>
      </w:r>
    </w:p>
  </w:footnote>
  <w:footnote w:type="continuationSeparator" w:id="0">
    <w:p w:rsidR="00A5470A" w:rsidRDefault="00A5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9F05FD">
      <w:rPr>
        <w:shadow/>
        <w:sz w:val="24"/>
        <w:szCs w:val="24"/>
      </w:rPr>
      <w:t>38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9F05FD">
      <w:rPr>
        <w:sz w:val="20"/>
        <w:szCs w:val="20"/>
      </w:rPr>
      <w:t>28 de fevereiro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9F05FD">
      <w:rPr>
        <w:sz w:val="20"/>
        <w:szCs w:val="20"/>
      </w:rPr>
      <w:t>6</w:t>
    </w:r>
    <w:r w:rsidR="00FE00AD" w:rsidRPr="00971E07">
      <w:rPr>
        <w:sz w:val="20"/>
        <w:szCs w:val="20"/>
      </w:rPr>
      <w:t xml:space="preserve"> de ma</w:t>
    </w:r>
    <w:r w:rsidR="00E16E01" w:rsidRPr="00971E07">
      <w:rPr>
        <w:sz w:val="20"/>
        <w:szCs w:val="20"/>
      </w:rPr>
      <w:t>rç</w:t>
    </w:r>
    <w:r w:rsidR="00FE00AD" w:rsidRPr="00971E07">
      <w:rPr>
        <w:sz w:val="20"/>
        <w:szCs w:val="20"/>
      </w:rPr>
      <w:t>o de 20</w:t>
    </w:r>
    <w:r w:rsidR="00E16E01" w:rsidRPr="00971E07">
      <w:rPr>
        <w:sz w:val="20"/>
        <w:szCs w:val="20"/>
      </w:rPr>
      <w:t>1</w:t>
    </w:r>
    <w:r w:rsidR="009F05FD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977B1C">
      <w:rPr>
        <w:b/>
        <w:sz w:val="40"/>
        <w:szCs w:val="40"/>
      </w:rPr>
      <w:t>38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977B1C">
      <w:rPr>
        <w:i/>
        <w:iCs/>
      </w:rPr>
      <w:t>28 de fevereiro</w:t>
    </w:r>
    <w:r w:rsidR="00FE00AD" w:rsidRPr="005D1DE4">
      <w:rPr>
        <w:i/>
        <w:iCs/>
      </w:rPr>
      <w:t xml:space="preserve"> a </w:t>
    </w:r>
    <w:r w:rsidR="00977B1C">
      <w:rPr>
        <w:i/>
        <w:iCs/>
      </w:rPr>
      <w:t>6</w:t>
    </w:r>
    <w:r w:rsidR="00FE00AD" w:rsidRPr="005D1DE4">
      <w:rPr>
        <w:i/>
        <w:iCs/>
      </w:rPr>
      <w:t xml:space="preserve"> de março de 201</w:t>
    </w:r>
    <w:r w:rsidR="00977B1C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447F4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02EB7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B773C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77B1C"/>
    <w:rsid w:val="00980944"/>
    <w:rsid w:val="00986D77"/>
    <w:rsid w:val="009943EC"/>
    <w:rsid w:val="009A32D5"/>
    <w:rsid w:val="009B6012"/>
    <w:rsid w:val="009C102D"/>
    <w:rsid w:val="009C2A4F"/>
    <w:rsid w:val="009D4C59"/>
    <w:rsid w:val="009D7C01"/>
    <w:rsid w:val="009D7F91"/>
    <w:rsid w:val="009E20EF"/>
    <w:rsid w:val="009E26EE"/>
    <w:rsid w:val="009F05FD"/>
    <w:rsid w:val="009F21A2"/>
    <w:rsid w:val="00A32FBF"/>
    <w:rsid w:val="00A407EA"/>
    <w:rsid w:val="00A51749"/>
    <w:rsid w:val="00A521B6"/>
    <w:rsid w:val="00A5470A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5844"/>
    <w:rsid w:val="00BD6029"/>
    <w:rsid w:val="00BE0541"/>
    <w:rsid w:val="00BE1ADB"/>
    <w:rsid w:val="00BF5E10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0C30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25FF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1FD3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C9D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paragraph" w:customStyle="1" w:styleId="Default">
    <w:name w:val="Default"/>
    <w:rsid w:val="00C90C3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876&amp;digitoTst=57&amp;anoTst=2011&amp;orgaoTst=5&amp;tribunalTst=14&amp;varaTst=00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721145&amp;digitoTst=82&amp;anoTst=2001&amp;orgaoTst=5&amp;tribunalTst=01&amp;varaTst=00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65600&amp;digitoTst=67&amp;anoTst=2008&amp;orgaoTst=5&amp;tribunalTst=07&amp;varaTst=00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licacao5.tst.jus.br/consultaProcessual/consultaTstNumUnica.do?consulta=Consultar&amp;conscsjt=&amp;numeroTst=1409976&amp;digitoTst=74&amp;anoTst=2004&amp;orgaoTst=5&amp;tribunalTst=01&amp;varaTst=0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40140&amp;digitoTst=31&amp;anoTst=2004&amp;orgaoTst=5&amp;tribunalTst=01&amp;varaTst=001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2EB3-98E3-4F39-B976-5BFBEDDC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7419</CharactersWithSpaces>
  <SharedDoc>false</SharedDoc>
  <HLinks>
    <vt:vector size="30" baseType="variant"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https://aplicacao5.tst.jus.br/consultaProcessual/consultaTstNumUnica.do?consulta=Consultar&amp;conscsjt=&amp;numeroTst=721145&amp;digitoTst=82&amp;anoTst=2001&amp;orgaoTst=5&amp;tribunalTst=01&amp;varaTst=0018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https://aplicacao5.tst.jus.br/consultaProcessual/consultaTstNumUnica.do?consulta=Consultar&amp;conscsjt=&amp;numeroTst=65600&amp;digitoTst=67&amp;anoTst=2008&amp;orgaoTst=5&amp;tribunalTst=07&amp;varaTst=0001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https://aplicacao5.tst.jus.br/consultaProcessual/consultaTstNumUnica.do?consulta=Consultar&amp;conscsjt=&amp;numeroTst=1409976&amp;digitoTst=74&amp;anoTst=2004&amp;orgaoTst=5&amp;tribunalTst=01&amp;varaTst=0900</vt:lpwstr>
      </vt:variant>
      <vt:variant>
        <vt:lpwstr/>
      </vt:variant>
      <vt:variant>
        <vt:i4>1572869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https://aplicacao5.tst.jus.br/consultaProcessual/consultaTstNumUnica.do?consulta=Consultar&amp;conscsjt=&amp;numeroTst=40140&amp;digitoTst=31&amp;anoTst=2004&amp;orgaoTst=5&amp;tribunalTst=01&amp;varaTst=0019</vt:lpwstr>
      </vt:variant>
      <vt:variant>
        <vt:lpwstr/>
      </vt:variant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https://aplicacao5.tst.jus.br/consultaProcessual/consultaTstNumUnica.do?consulta=Consultar&amp;conscsjt=&amp;numeroTst=876&amp;digitoTst=57&amp;anoTst=2011&amp;orgaoTst=5&amp;tribunalTst=14&amp;varaTst=0000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