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DF40E1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631F1C" w:rsidRPr="00971E07" w:rsidRDefault="00631F1C" w:rsidP="006E00BB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FE00AD" w:rsidRPr="00DF40E1" w:rsidRDefault="00FE00AD" w:rsidP="006E00BB">
      <w:pPr>
        <w:pStyle w:val="Corpodetexto2"/>
        <w:jc w:val="center"/>
        <w:rPr>
          <w:b/>
          <w:bCs/>
          <w:emboss/>
          <w:sz w:val="6"/>
          <w:szCs w:val="6"/>
        </w:rPr>
      </w:pPr>
    </w:p>
    <w:p w:rsidR="006E00BB" w:rsidRDefault="006E00BB" w:rsidP="006E00B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Intervalo intrajornada de 15 minutos. Concessão ao final da jornada. Previsão em instrumento coletivo. Invalidade. Art. 71, § 1º, da CLT. Norma cogente.</w:t>
      </w:r>
    </w:p>
    <w:p w:rsidR="006E00BB" w:rsidRDefault="006E00BB" w:rsidP="006E0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inválida cláusula de instrumento coletivo que prevê a concessão do intervalo intrajornada de 15 minutos apenas ao final da jornada, antecipando o seu final e permitindo ao empregado chegar mais cedo em casa. A previsão contida no § 1º do art. 71 da CLT é norma cogente que tutela a higiene, a saúde e a segurança do trabalho, insuscetível, portanto, à negociação. Ademais, a concessão do intervalo apenas ao final da jornada não atende à finalidade da norma, que é a de reparar o desgaste físico e intelectual do trabalhador durante a prestação de serviços, sobretudo quando se trata de </w:t>
      </w:r>
      <w:r w:rsidR="00FF03B1">
        <w:rPr>
          <w:sz w:val="24"/>
          <w:szCs w:val="24"/>
        </w:rPr>
        <w:t>atividade</w:t>
      </w:r>
      <w:r>
        <w:rPr>
          <w:sz w:val="24"/>
          <w:szCs w:val="24"/>
        </w:rPr>
        <w:t xml:space="preserve"> extenuante,</w:t>
      </w:r>
      <w:r w:rsidR="00FF03B1">
        <w:rPr>
          <w:sz w:val="24"/>
          <w:szCs w:val="24"/>
        </w:rPr>
        <w:t xml:space="preserve"> como a</w:t>
      </w:r>
      <w:r>
        <w:rPr>
          <w:sz w:val="24"/>
          <w:szCs w:val="24"/>
        </w:rPr>
        <w:t xml:space="preserve"> executad</w:t>
      </w:r>
      <w:r w:rsidR="00FF03B1">
        <w:rPr>
          <w:sz w:val="24"/>
          <w:szCs w:val="24"/>
        </w:rPr>
        <w:t>a</w:t>
      </w:r>
      <w:r>
        <w:rPr>
          <w:sz w:val="24"/>
          <w:szCs w:val="24"/>
        </w:rPr>
        <w:t xml:space="preserve"> pelos trabalhadores portuários. Com esse entendimento, a SBDI-I, por unanimidade, conheceu dos embargos, por divergência jurisprudencial, e, no mérito, por maioria, negou-lhes provimento, confirmando a decisão do Regional que condenou o reclamado ao pagamento de 15 minutos diários, como extras, referentes ao intervalo intrajornada não usufruído, com os reflexos postulados. Vencidos os Ministros Aloysio Corrêa da Veiga, Ives Gandra Martins Filho e Maria Cristina Irigoyen Peduzzi. </w:t>
      </w:r>
      <w:hyperlink r:id="rId8" w:history="1">
        <w:r w:rsidRPr="006E7A9E">
          <w:rPr>
            <w:rStyle w:val="Hyperlink"/>
            <w:sz w:val="24"/>
            <w:szCs w:val="24"/>
          </w:rPr>
          <w:t>TST-ERR-126-56.2011.5.04.0122</w:t>
        </w:r>
      </w:hyperlink>
      <w:r w:rsidRPr="001E650A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SBDI-I, rel. Augusto César Leite de Carvalho, </w:t>
      </w:r>
      <w:r w:rsidRPr="001E650A">
        <w:rPr>
          <w:sz w:val="24"/>
          <w:szCs w:val="24"/>
          <w:u w:val="single"/>
        </w:rPr>
        <w:t>14.</w:t>
      </w:r>
      <w:r>
        <w:rPr>
          <w:sz w:val="24"/>
          <w:szCs w:val="24"/>
          <w:u w:val="single"/>
        </w:rPr>
        <w:t>2</w:t>
      </w:r>
      <w:r w:rsidRPr="001E650A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3</w:t>
      </w:r>
    </w:p>
    <w:p w:rsidR="006E00BB" w:rsidRPr="00DF40E1" w:rsidRDefault="006E00BB" w:rsidP="006E00BB">
      <w:pPr>
        <w:jc w:val="both"/>
        <w:rPr>
          <w:b/>
          <w:i/>
          <w:sz w:val="6"/>
          <w:szCs w:val="6"/>
        </w:rPr>
      </w:pPr>
    </w:p>
    <w:p w:rsidR="006E00BB" w:rsidRPr="00C84752" w:rsidRDefault="006E00BB" w:rsidP="006E00BB">
      <w:pPr>
        <w:jc w:val="both"/>
        <w:rPr>
          <w:i/>
          <w:sz w:val="24"/>
          <w:szCs w:val="24"/>
        </w:rPr>
      </w:pPr>
      <w:r w:rsidRPr="00C84752">
        <w:rPr>
          <w:b/>
          <w:i/>
          <w:sz w:val="24"/>
          <w:szCs w:val="24"/>
        </w:rPr>
        <w:t xml:space="preserve">Previdência privada. Complementação de aposentadoria. Reajuste salarial reconhecido judicialmente. Contribuição para a fonte de custeio. Indevida. Ausência de previsão contratual. </w:t>
      </w:r>
    </w:p>
    <w:p w:rsidR="006E00BB" w:rsidRDefault="006E00BB" w:rsidP="006E00BB">
      <w:pPr>
        <w:jc w:val="both"/>
        <w:rPr>
          <w:rFonts w:eastAsia="Calibri"/>
          <w:sz w:val="24"/>
          <w:szCs w:val="24"/>
          <w:u w:val="single"/>
        </w:rPr>
      </w:pPr>
      <w:r w:rsidRPr="00C84752">
        <w:rPr>
          <w:sz w:val="24"/>
          <w:szCs w:val="24"/>
        </w:rPr>
        <w:t xml:space="preserve">Não cabe imputar ao empregado aposentado a contribuição para a fonte de custeio de diferenças de complementação de aposentadoria decorrentes de reajuste salarial </w:t>
      </w:r>
      <w:r>
        <w:rPr>
          <w:sz w:val="24"/>
          <w:szCs w:val="24"/>
        </w:rPr>
        <w:t xml:space="preserve">sob o rótulo de “avanço de nível” disfarçado, </w:t>
      </w:r>
      <w:r w:rsidRPr="00C84752">
        <w:rPr>
          <w:sz w:val="24"/>
          <w:szCs w:val="24"/>
        </w:rPr>
        <w:t xml:space="preserve">reconhecido judicialmente, quando a </w:t>
      </w:r>
      <w:r w:rsidRPr="00C84752">
        <w:rPr>
          <w:snapToGrid w:val="0"/>
          <w:sz w:val="24"/>
          <w:szCs w:val="24"/>
        </w:rPr>
        <w:t xml:space="preserve">paridade salarial com o pessoal em atividade foi assegurada no contrato, sem a respectiva previsão de contribuição do assistido para a preservação do equilíbrio atuarial. Com esse posicionamento, a SBDI-I, à unanimidade, conheceu dos embargos, por divergência jurisprudencial e, no mérito, deu-lhes provimento </w:t>
      </w:r>
      <w:r w:rsidRPr="00C84752">
        <w:rPr>
          <w:sz w:val="24"/>
          <w:szCs w:val="24"/>
        </w:rPr>
        <w:t>para afastar da condenação o recolhimento da cota previdenciária dos reclamantes.</w:t>
      </w:r>
      <w:r w:rsidRPr="006E7A9E">
        <w:rPr>
          <w:rFonts w:eastAsia="Calibri"/>
          <w:sz w:val="24"/>
          <w:szCs w:val="24"/>
        </w:rPr>
        <w:t xml:space="preserve"> </w:t>
      </w:r>
      <w:hyperlink r:id="rId9" w:history="1">
        <w:r w:rsidRPr="006E7A9E">
          <w:rPr>
            <w:rStyle w:val="Hyperlink"/>
            <w:rFonts w:eastAsia="Calibri"/>
            <w:sz w:val="24"/>
            <w:szCs w:val="24"/>
          </w:rPr>
          <w:t>TST-ARR-217400-15.2008.5.07.0011</w:t>
        </w:r>
      </w:hyperlink>
      <w:r w:rsidRPr="00C84752">
        <w:rPr>
          <w:rFonts w:eastAsia="Calibri"/>
          <w:sz w:val="24"/>
          <w:szCs w:val="24"/>
          <w:u w:val="single"/>
        </w:rPr>
        <w:t xml:space="preserve">, SBDI-I, rel. Min. </w:t>
      </w:r>
      <w:r w:rsidRPr="00C84752">
        <w:rPr>
          <w:sz w:val="24"/>
          <w:szCs w:val="24"/>
          <w:u w:val="single"/>
        </w:rPr>
        <w:t>Aloysio Corrêa da Veiga</w:t>
      </w:r>
      <w:r w:rsidRPr="00C84752">
        <w:rPr>
          <w:rFonts w:eastAsia="Calibri"/>
          <w:sz w:val="24"/>
          <w:szCs w:val="24"/>
          <w:u w:val="single"/>
        </w:rPr>
        <w:t>, 14.2.2013</w:t>
      </w:r>
    </w:p>
    <w:p w:rsidR="006E00BB" w:rsidRPr="00DF40E1" w:rsidRDefault="006E00BB" w:rsidP="006E00BB">
      <w:pPr>
        <w:jc w:val="both"/>
        <w:rPr>
          <w:rFonts w:eastAsia="Calibri"/>
          <w:sz w:val="6"/>
          <w:szCs w:val="6"/>
          <w:u w:val="single"/>
        </w:rPr>
      </w:pPr>
    </w:p>
    <w:p w:rsidR="006E00BB" w:rsidRPr="006E00BB" w:rsidRDefault="006E00BB" w:rsidP="006E00BB">
      <w:pPr>
        <w:jc w:val="both"/>
        <w:rPr>
          <w:rFonts w:eastAsia="Calibri"/>
          <w:b/>
          <w:i/>
          <w:sz w:val="24"/>
          <w:szCs w:val="24"/>
        </w:rPr>
      </w:pPr>
      <w:r w:rsidRPr="006E00BB">
        <w:rPr>
          <w:rFonts w:eastAsia="Calibri"/>
          <w:b/>
          <w:i/>
          <w:sz w:val="24"/>
          <w:szCs w:val="24"/>
        </w:rPr>
        <w:t xml:space="preserve">Sindicato. Substituição processual. Legitimidade ativa. Equiparação salarial. Maquinistas. Direito individual homogêneo. Origem comum da pretensão. </w:t>
      </w:r>
    </w:p>
    <w:p w:rsidR="006E00BB" w:rsidRDefault="006E00BB" w:rsidP="006E00BB">
      <w:pPr>
        <w:jc w:val="both"/>
        <w:rPr>
          <w:color w:val="000000"/>
          <w:sz w:val="24"/>
          <w:szCs w:val="24"/>
          <w:u w:val="single"/>
        </w:rPr>
      </w:pPr>
      <w:r w:rsidRPr="00A47E89">
        <w:rPr>
          <w:snapToGrid w:val="0"/>
          <w:color w:val="000000"/>
          <w:sz w:val="24"/>
          <w:szCs w:val="24"/>
        </w:rPr>
        <w:t>O Sindicato dos Trabalhadores em Empresas Ferroviárias de Belo Horizonte, na condiç</w:t>
      </w:r>
      <w:r>
        <w:rPr>
          <w:snapToGrid w:val="0"/>
          <w:color w:val="000000"/>
          <w:sz w:val="24"/>
          <w:szCs w:val="24"/>
        </w:rPr>
        <w:t>ão de substituto processual, possui</w:t>
      </w:r>
      <w:r w:rsidRPr="00A47E89">
        <w:rPr>
          <w:snapToGrid w:val="0"/>
          <w:color w:val="000000"/>
          <w:sz w:val="24"/>
          <w:szCs w:val="24"/>
        </w:rPr>
        <w:t xml:space="preserve"> legitimidade</w:t>
      </w:r>
      <w:r>
        <w:rPr>
          <w:snapToGrid w:val="0"/>
          <w:color w:val="000000"/>
          <w:sz w:val="24"/>
          <w:szCs w:val="24"/>
        </w:rPr>
        <w:t xml:space="preserve"> ativa</w:t>
      </w:r>
      <w:r w:rsidRPr="00A47E89">
        <w:rPr>
          <w:snapToGrid w:val="0"/>
          <w:color w:val="000000"/>
          <w:sz w:val="24"/>
          <w:szCs w:val="24"/>
        </w:rPr>
        <w:t xml:space="preserve"> para postular</w:t>
      </w:r>
      <w:r>
        <w:rPr>
          <w:snapToGrid w:val="0"/>
          <w:color w:val="000000"/>
          <w:sz w:val="24"/>
          <w:szCs w:val="24"/>
        </w:rPr>
        <w:t xml:space="preserve"> a equiparação salarial de trinta e cinco maquinistas, ainda que o pedido esteja ligado </w:t>
      </w:r>
      <w:r w:rsidRPr="00A47E89">
        <w:rPr>
          <w:snapToGrid w:val="0"/>
          <w:color w:val="000000"/>
          <w:sz w:val="24"/>
          <w:szCs w:val="24"/>
        </w:rPr>
        <w:t>à subjetividade de cada um dos titulares do direito, a determinar consequências distintas para cada substituído.</w:t>
      </w:r>
      <w:r>
        <w:rPr>
          <w:snapToGrid w:val="0"/>
          <w:color w:val="000000"/>
          <w:sz w:val="24"/>
          <w:szCs w:val="24"/>
        </w:rPr>
        <w:t xml:space="preserve"> Trata-se de direito individual homogêneo, na medida em que a pretensão tem origem comum, conforme exigido no art. 81, III, do CDC (Lei nº 8.078/90). Com esse entendimento, a SBDI-I</w:t>
      </w:r>
      <w:r w:rsidRPr="00E963C6">
        <w:rPr>
          <w:snapToGrid w:val="0"/>
          <w:color w:val="000000"/>
          <w:sz w:val="24"/>
          <w:szCs w:val="24"/>
        </w:rPr>
        <w:t>, por unanimidade, conheceu dos embargos</w:t>
      </w:r>
      <w:r>
        <w:rPr>
          <w:snapToGrid w:val="0"/>
          <w:color w:val="000000"/>
          <w:sz w:val="24"/>
          <w:szCs w:val="24"/>
        </w:rPr>
        <w:t>,</w:t>
      </w:r>
      <w:r w:rsidRPr="00E963C6">
        <w:rPr>
          <w:snapToGrid w:val="0"/>
          <w:color w:val="000000"/>
          <w:sz w:val="24"/>
          <w:szCs w:val="24"/>
        </w:rPr>
        <w:t xml:space="preserve"> por divergência jurisprudencial e, no mérito</w:t>
      </w:r>
      <w:r>
        <w:rPr>
          <w:snapToGrid w:val="0"/>
          <w:color w:val="000000"/>
          <w:sz w:val="24"/>
          <w:szCs w:val="24"/>
        </w:rPr>
        <w:t>,</w:t>
      </w:r>
      <w:r w:rsidRPr="00E963C6">
        <w:rPr>
          <w:snapToGrid w:val="0"/>
          <w:color w:val="000000"/>
          <w:sz w:val="24"/>
          <w:szCs w:val="24"/>
        </w:rPr>
        <w:t xml:space="preserve"> deu</w:t>
      </w:r>
      <w:r>
        <w:rPr>
          <w:snapToGrid w:val="0"/>
          <w:color w:val="000000"/>
          <w:sz w:val="24"/>
          <w:szCs w:val="24"/>
        </w:rPr>
        <w:t>-lhes</w:t>
      </w:r>
      <w:r w:rsidRPr="00E963C6">
        <w:rPr>
          <w:snapToGrid w:val="0"/>
          <w:color w:val="000000"/>
          <w:sz w:val="24"/>
          <w:szCs w:val="24"/>
        </w:rPr>
        <w:t xml:space="preserve"> provimento para reconhecer a legitimidade ativa do sindicato autor e determinar o retorno dos autos à Vara do Trabalho de origem, a fim de que aprecie a pretensão exordial, como entender de direito.</w:t>
      </w:r>
      <w:r w:rsidRPr="00FB0C01">
        <w:rPr>
          <w:i/>
          <w:sz w:val="24"/>
          <w:szCs w:val="24"/>
        </w:rPr>
        <w:t xml:space="preserve"> </w:t>
      </w:r>
      <w:hyperlink r:id="rId10" w:history="1">
        <w:r w:rsidRPr="00E25BD6">
          <w:rPr>
            <w:rStyle w:val="Hyperlink"/>
            <w:sz w:val="24"/>
            <w:szCs w:val="24"/>
          </w:rPr>
          <w:t>TST-E-ED-RR-256-45.2011.5.03.0002</w:t>
        </w:r>
      </w:hyperlink>
      <w:r w:rsidRPr="00E963C6">
        <w:rPr>
          <w:color w:val="000000"/>
          <w:sz w:val="24"/>
          <w:szCs w:val="24"/>
          <w:u w:val="single"/>
        </w:rPr>
        <w:t xml:space="preserve">, </w:t>
      </w:r>
      <w:r>
        <w:rPr>
          <w:color w:val="000000"/>
          <w:sz w:val="24"/>
          <w:szCs w:val="24"/>
          <w:u w:val="single"/>
        </w:rPr>
        <w:t>SBDI-I, r</w:t>
      </w:r>
      <w:r w:rsidRPr="00E963C6">
        <w:rPr>
          <w:color w:val="000000"/>
          <w:sz w:val="24"/>
          <w:szCs w:val="24"/>
          <w:u w:val="single"/>
        </w:rPr>
        <w:t>el</w:t>
      </w:r>
      <w:r>
        <w:rPr>
          <w:color w:val="000000"/>
          <w:sz w:val="24"/>
          <w:szCs w:val="24"/>
          <w:u w:val="single"/>
        </w:rPr>
        <w:t xml:space="preserve">. Min. </w:t>
      </w:r>
      <w:r w:rsidRPr="00E963C6">
        <w:rPr>
          <w:color w:val="000000"/>
          <w:sz w:val="24"/>
          <w:szCs w:val="24"/>
          <w:u w:val="single"/>
        </w:rPr>
        <w:t>Aloysio Côrrea da Veiga, 14.2.2013</w:t>
      </w:r>
    </w:p>
    <w:p w:rsidR="006E00BB" w:rsidRPr="00C84752" w:rsidRDefault="006E00BB" w:rsidP="006E00BB">
      <w:pPr>
        <w:jc w:val="both"/>
        <w:rPr>
          <w:sz w:val="24"/>
          <w:szCs w:val="24"/>
        </w:rPr>
      </w:pPr>
    </w:p>
    <w:p w:rsidR="00184590" w:rsidRPr="00DF40E1" w:rsidRDefault="00DF40E1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16"/>
          <w:szCs w:val="16"/>
        </w:rPr>
      </w:pPr>
      <w:r w:rsidRPr="00DF40E1">
        <w:rPr>
          <w:b w:val="0"/>
          <w:bCs w:val="0"/>
          <w:snapToGrid w:val="0"/>
          <w:sz w:val="16"/>
          <w:szCs w:val="16"/>
        </w:rPr>
        <w:t>I</w:t>
      </w:r>
      <w:r w:rsidR="00184590" w:rsidRPr="00DF40E1">
        <w:rPr>
          <w:b w:val="0"/>
          <w:bCs w:val="0"/>
          <w:snapToGrid w:val="0"/>
          <w:sz w:val="16"/>
          <w:szCs w:val="16"/>
        </w:rPr>
        <w:t xml:space="preserve">nformativo TST é mantido pela </w:t>
      </w:r>
    </w:p>
    <w:p w:rsidR="00184590" w:rsidRPr="00DF40E1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16"/>
          <w:szCs w:val="16"/>
        </w:rPr>
      </w:pPr>
      <w:r w:rsidRPr="00DF40E1">
        <w:rPr>
          <w:b w:val="0"/>
          <w:bCs w:val="0"/>
          <w:snapToGrid w:val="0"/>
          <w:sz w:val="16"/>
          <w:szCs w:val="16"/>
        </w:rPr>
        <w:t>Coordenadoria de Jurisprudência – CJUR</w:t>
      </w:r>
    </w:p>
    <w:p w:rsidR="00184590" w:rsidRPr="00DF40E1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16"/>
          <w:szCs w:val="16"/>
        </w:rPr>
      </w:pPr>
      <w:r w:rsidRPr="00DF40E1">
        <w:rPr>
          <w:snapToGrid w:val="0"/>
          <w:sz w:val="16"/>
          <w:szCs w:val="16"/>
        </w:rPr>
        <w:t>Informações/Sugestões/Críticas: (61)3043</w:t>
      </w:r>
      <w:r w:rsidR="00352B27" w:rsidRPr="00DF40E1">
        <w:rPr>
          <w:snapToGrid w:val="0"/>
          <w:sz w:val="16"/>
          <w:szCs w:val="16"/>
        </w:rPr>
        <w:t>-</w:t>
      </w:r>
      <w:r w:rsidRPr="00DF40E1">
        <w:rPr>
          <w:snapToGrid w:val="0"/>
          <w:sz w:val="16"/>
          <w:szCs w:val="16"/>
        </w:rPr>
        <w:t>4</w:t>
      </w:r>
      <w:r w:rsidR="00D72C05" w:rsidRPr="00DF40E1">
        <w:rPr>
          <w:snapToGrid w:val="0"/>
          <w:sz w:val="16"/>
          <w:szCs w:val="16"/>
        </w:rPr>
        <w:t>417</w:t>
      </w:r>
    </w:p>
    <w:p w:rsidR="007614F1" w:rsidRPr="00DF40E1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16"/>
          <w:szCs w:val="16"/>
        </w:rPr>
      </w:pPr>
      <w:r w:rsidRPr="00DF40E1">
        <w:rPr>
          <w:snapToGrid w:val="0"/>
          <w:sz w:val="16"/>
          <w:szCs w:val="16"/>
        </w:rPr>
        <w:t>cjur@tst.jus.br</w:t>
      </w:r>
    </w:p>
    <w:sectPr w:rsidR="007614F1" w:rsidRPr="00DF40E1" w:rsidSect="00D11B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2C" w:rsidRDefault="00695B2C">
      <w:r>
        <w:separator/>
      </w:r>
    </w:p>
  </w:endnote>
  <w:endnote w:type="continuationSeparator" w:id="0">
    <w:p w:rsidR="00695B2C" w:rsidRDefault="0069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40E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4F45E7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2C" w:rsidRDefault="00695B2C">
      <w:r>
        <w:separator/>
      </w:r>
    </w:p>
  </w:footnote>
  <w:footnote w:type="continuationSeparator" w:id="0">
    <w:p w:rsidR="00695B2C" w:rsidRDefault="00695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6E00BB">
      <w:rPr>
        <w:shadow/>
        <w:sz w:val="24"/>
        <w:szCs w:val="24"/>
      </w:rPr>
      <w:t>36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056752" w:rsidRPr="00971E07">
      <w:rPr>
        <w:sz w:val="20"/>
        <w:szCs w:val="20"/>
      </w:rPr>
      <w:t>1</w:t>
    </w:r>
    <w:r w:rsidR="006E00BB">
      <w:rPr>
        <w:sz w:val="20"/>
        <w:szCs w:val="20"/>
      </w:rPr>
      <w:t>4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6E00BB">
      <w:rPr>
        <w:sz w:val="20"/>
        <w:szCs w:val="20"/>
      </w:rPr>
      <w:t>18</w:t>
    </w:r>
    <w:r w:rsidR="00FE00AD" w:rsidRPr="00971E07">
      <w:rPr>
        <w:sz w:val="20"/>
        <w:szCs w:val="20"/>
      </w:rPr>
      <w:t xml:space="preserve"> de </w:t>
    </w:r>
    <w:r w:rsidR="006E00BB">
      <w:rPr>
        <w:sz w:val="20"/>
        <w:szCs w:val="20"/>
      </w:rPr>
      <w:t>fevereiro</w:t>
    </w:r>
    <w:r w:rsidR="00FE00AD" w:rsidRPr="00971E07">
      <w:rPr>
        <w:sz w:val="20"/>
        <w:szCs w:val="20"/>
      </w:rPr>
      <w:t xml:space="preserve"> de 20</w:t>
    </w:r>
    <w:r w:rsidR="00E16E01" w:rsidRPr="00971E07">
      <w:rPr>
        <w:sz w:val="20"/>
        <w:szCs w:val="20"/>
      </w:rPr>
      <w:t>1</w:t>
    </w:r>
    <w:r w:rsidR="006E00BB">
      <w:rPr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6E00BB">
      <w:rPr>
        <w:b/>
        <w:sz w:val="40"/>
        <w:szCs w:val="40"/>
      </w:rPr>
      <w:t>36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6E00BB">
      <w:rPr>
        <w:i/>
        <w:iCs/>
      </w:rPr>
      <w:t xml:space="preserve">14 </w:t>
    </w:r>
    <w:r w:rsidR="00FE00AD" w:rsidRPr="005D1DE4">
      <w:rPr>
        <w:i/>
        <w:iCs/>
      </w:rPr>
      <w:t>a</w:t>
    </w:r>
    <w:r w:rsidR="006E00BB">
      <w:rPr>
        <w:i/>
        <w:iCs/>
      </w:rPr>
      <w:t xml:space="preserve"> 18 </w:t>
    </w:r>
    <w:r w:rsidR="00FE00AD" w:rsidRPr="005D1DE4">
      <w:rPr>
        <w:i/>
        <w:iCs/>
      </w:rPr>
      <w:t xml:space="preserve">de </w:t>
    </w:r>
    <w:r w:rsidR="006E00BB">
      <w:rPr>
        <w:i/>
        <w:iCs/>
      </w:rPr>
      <w:t xml:space="preserve">fevereiro </w:t>
    </w:r>
    <w:r w:rsidR="00FE00AD" w:rsidRPr="005D1DE4">
      <w:rPr>
        <w:i/>
        <w:iCs/>
      </w:rPr>
      <w:t>de 201</w:t>
    </w:r>
    <w:r w:rsidR="006E00BB">
      <w:rPr>
        <w:i/>
        <w:iCs/>
      </w:rPr>
      <w:t>3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4F45E7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5B2C"/>
    <w:rsid w:val="00697919"/>
    <w:rsid w:val="006B3FCF"/>
    <w:rsid w:val="006B46CA"/>
    <w:rsid w:val="006C0391"/>
    <w:rsid w:val="006C28B3"/>
    <w:rsid w:val="006D1F66"/>
    <w:rsid w:val="006D306E"/>
    <w:rsid w:val="006D4497"/>
    <w:rsid w:val="006E00BB"/>
    <w:rsid w:val="006E7A9E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4357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04E91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13F2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DF40E1"/>
    <w:rsid w:val="00E03064"/>
    <w:rsid w:val="00E04BD5"/>
    <w:rsid w:val="00E070D2"/>
    <w:rsid w:val="00E1539C"/>
    <w:rsid w:val="00E162B6"/>
    <w:rsid w:val="00E16E01"/>
    <w:rsid w:val="00E24A50"/>
    <w:rsid w:val="00E25BD6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03B1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126&amp;digitoTst=56&amp;anoTst=2011&amp;orgaoTst=5&amp;tribunalTst=04&amp;varaTst=012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licacao5.tst.jus.br/consultaProcessual/consultaTstNumUnica.do?consulta=Consultar&amp;conscsjt=&amp;numeroTst=256&amp;digitoTst=45&amp;anoTst=2011&amp;orgaoTst=5&amp;tribunalTst=03&amp;varaTst=0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217400&amp;digitoTst=15&amp;anoTst=2008&amp;orgaoTst=5&amp;tribunalTst=07&amp;varaTst=001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95F0-C329-490A-9245-FAF14FA3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4450</CharactersWithSpaces>
  <SharedDoc>false</SharedDoc>
  <HLinks>
    <vt:vector size="18" baseType="variant">
      <vt:variant>
        <vt:i4>2359350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https://aplicacao5.tst.jus.br/consultaProcessual/consultaTstNumUnica.do?consulta=Consultar&amp;conscsjt=&amp;numeroTst=256&amp;digitoTst=45&amp;anoTst=2011&amp;orgaoTst=5&amp;tribunalTst=03&amp;varaTst=0002</vt:lpwstr>
      </vt:variant>
      <vt:variant>
        <vt:lpwstr/>
      </vt:variant>
      <vt:variant>
        <vt:i4>5570636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https://aplicacao5.tst.jus.br/consultaProcessual/consultaTstNumUnica.do?consulta=Consultar&amp;conscsjt=&amp;numeroTst=217400&amp;digitoTst=15&amp;anoTst=2008&amp;orgaoTst=5&amp;tribunalTst=07&amp;varaTst=0011</vt:lpwstr>
      </vt:variant>
      <vt:variant>
        <vt:lpwstr/>
      </vt:variant>
      <vt:variant>
        <vt:i4>2555959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https://aplicacao5.tst.jus.br/consultaProcessual/consultaTstNumUnica.do?consulta=Consultar&amp;conscsjt=&amp;numeroTst=126&amp;digitoTst=56&amp;anoTst=2011&amp;orgaoTst=5&amp;tribunalTst=04&amp;varaTst=0122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2013-02-20T16:17:00Z</cp:lastPrinted>
  <dcterms:created xsi:type="dcterms:W3CDTF">2018-06-27T21:44:00Z</dcterms:created>
  <dcterms:modified xsi:type="dcterms:W3CDTF">2018-06-27T21:44:00Z</dcterms:modified>
</cp:coreProperties>
</file>