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  <w:p w:rsidR="006F378A" w:rsidRPr="00187A37" w:rsidRDefault="006F378A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F378A" w:rsidRPr="00971E07" w:rsidRDefault="006F378A" w:rsidP="006F378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COMISSÃO DE JURISPRUDÊNCIA E DE PRECEDENTES NORMATIVOS</w:t>
      </w:r>
    </w:p>
    <w:p w:rsidR="00EA29F5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F378A" w:rsidRPr="006F378A" w:rsidRDefault="006F378A" w:rsidP="006F378A">
      <w:pPr>
        <w:pStyle w:val="Corpodetexto2"/>
        <w:rPr>
          <w:bCs/>
          <w:iCs/>
          <w:color w:val="000000"/>
          <w:sz w:val="24"/>
          <w:szCs w:val="24"/>
        </w:rPr>
      </w:pPr>
      <w:r w:rsidRPr="006F378A">
        <w:rPr>
          <w:bCs/>
          <w:iCs/>
          <w:color w:val="000000"/>
          <w:sz w:val="24"/>
          <w:szCs w:val="24"/>
        </w:rPr>
        <w:t xml:space="preserve">A </w:t>
      </w:r>
      <w:r>
        <w:rPr>
          <w:bCs/>
          <w:iCs/>
          <w:color w:val="000000"/>
          <w:sz w:val="24"/>
          <w:szCs w:val="24"/>
        </w:rPr>
        <w:t>C</w:t>
      </w:r>
      <w:r w:rsidRPr="006F378A">
        <w:rPr>
          <w:bCs/>
          <w:iCs/>
          <w:color w:val="000000"/>
          <w:sz w:val="24"/>
          <w:szCs w:val="24"/>
        </w:rPr>
        <w:t xml:space="preserve">omissão de </w:t>
      </w:r>
      <w:r>
        <w:rPr>
          <w:bCs/>
          <w:iCs/>
          <w:color w:val="000000"/>
          <w:sz w:val="24"/>
          <w:szCs w:val="24"/>
        </w:rPr>
        <w:t>J</w:t>
      </w:r>
      <w:r w:rsidRPr="006F378A">
        <w:rPr>
          <w:bCs/>
          <w:iCs/>
          <w:color w:val="000000"/>
          <w:sz w:val="24"/>
          <w:szCs w:val="24"/>
        </w:rPr>
        <w:t xml:space="preserve">urisprudência e de </w:t>
      </w:r>
      <w:r>
        <w:rPr>
          <w:bCs/>
          <w:iCs/>
          <w:color w:val="000000"/>
          <w:sz w:val="24"/>
          <w:szCs w:val="24"/>
        </w:rPr>
        <w:t>P</w:t>
      </w:r>
      <w:r w:rsidRPr="006F378A">
        <w:rPr>
          <w:bCs/>
          <w:iCs/>
          <w:color w:val="000000"/>
          <w:sz w:val="24"/>
          <w:szCs w:val="24"/>
        </w:rPr>
        <w:t xml:space="preserve">recedentes </w:t>
      </w:r>
      <w:r>
        <w:rPr>
          <w:bCs/>
          <w:iCs/>
          <w:color w:val="000000"/>
          <w:sz w:val="24"/>
          <w:szCs w:val="24"/>
        </w:rPr>
        <w:t>N</w:t>
      </w:r>
      <w:r w:rsidRPr="006F378A">
        <w:rPr>
          <w:bCs/>
          <w:iCs/>
          <w:color w:val="000000"/>
          <w:sz w:val="24"/>
          <w:szCs w:val="24"/>
        </w:rPr>
        <w:t>ormativos</w:t>
      </w:r>
      <w:r>
        <w:rPr>
          <w:bCs/>
          <w:iCs/>
          <w:color w:val="000000"/>
          <w:sz w:val="24"/>
          <w:szCs w:val="24"/>
        </w:rPr>
        <w:t xml:space="preserve">, </w:t>
      </w:r>
      <w:r w:rsidRPr="006F378A">
        <w:rPr>
          <w:bCs/>
          <w:iCs/>
          <w:color w:val="000000"/>
          <w:sz w:val="24"/>
          <w:szCs w:val="24"/>
        </w:rPr>
        <w:t>em cumprimento ao disposto no art. 175 do R</w:t>
      </w:r>
      <w:r>
        <w:rPr>
          <w:bCs/>
          <w:iCs/>
          <w:color w:val="000000"/>
          <w:sz w:val="24"/>
          <w:szCs w:val="24"/>
        </w:rPr>
        <w:t xml:space="preserve">ITST, </w:t>
      </w:r>
      <w:r w:rsidRPr="006F378A">
        <w:rPr>
          <w:bCs/>
          <w:iCs/>
          <w:color w:val="000000"/>
          <w:sz w:val="24"/>
          <w:szCs w:val="24"/>
        </w:rPr>
        <w:t>public</w:t>
      </w:r>
      <w:r>
        <w:rPr>
          <w:bCs/>
          <w:iCs/>
          <w:color w:val="000000"/>
          <w:sz w:val="24"/>
          <w:szCs w:val="24"/>
        </w:rPr>
        <w:t>ou no DEJT de 1º, 4 e 5/2/2013</w:t>
      </w:r>
      <w:r w:rsidRPr="006F378A">
        <w:rPr>
          <w:bCs/>
          <w:iCs/>
          <w:color w:val="000000"/>
          <w:sz w:val="24"/>
          <w:szCs w:val="24"/>
        </w:rPr>
        <w:t xml:space="preserve"> a edição da Orientação Jurisprudencial nº 421 da S</w:t>
      </w:r>
      <w:r>
        <w:rPr>
          <w:bCs/>
          <w:iCs/>
          <w:color w:val="000000"/>
          <w:sz w:val="24"/>
          <w:szCs w:val="24"/>
        </w:rPr>
        <w:t>BDI-I</w:t>
      </w:r>
      <w:r w:rsidRPr="006F378A">
        <w:rPr>
          <w:bCs/>
          <w:iCs/>
          <w:color w:val="000000"/>
          <w:sz w:val="24"/>
          <w:szCs w:val="24"/>
        </w:rPr>
        <w:t>:</w:t>
      </w:r>
    </w:p>
    <w:p w:rsidR="006F378A" w:rsidRDefault="006F378A" w:rsidP="006F378A">
      <w:pPr>
        <w:tabs>
          <w:tab w:val="left" w:pos="4253"/>
        </w:tabs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6F378A" w:rsidRPr="006F378A" w:rsidRDefault="006F378A" w:rsidP="006F378A">
      <w:pPr>
        <w:tabs>
          <w:tab w:val="left" w:pos="4253"/>
        </w:tabs>
        <w:adjustRightInd w:val="0"/>
        <w:jc w:val="both"/>
        <w:rPr>
          <w:bCs/>
          <w:sz w:val="24"/>
          <w:szCs w:val="24"/>
        </w:rPr>
      </w:pPr>
      <w:r w:rsidRPr="006F378A">
        <w:rPr>
          <w:bCs/>
          <w:sz w:val="24"/>
          <w:szCs w:val="24"/>
        </w:rPr>
        <w:t>HONORÁRIOS ADVOCATÍCIOS. AÇÃO DE INDENIZAÇÃO POR DANOS MORAIS E MATERIAIS DECORRENTES DE ACIDENTE</w:t>
      </w:r>
      <w:r>
        <w:rPr>
          <w:bCs/>
          <w:sz w:val="24"/>
          <w:szCs w:val="24"/>
        </w:rPr>
        <w:t xml:space="preserve"> </w:t>
      </w:r>
      <w:r w:rsidRPr="006F378A">
        <w:rPr>
          <w:bCs/>
          <w:sz w:val="24"/>
          <w:szCs w:val="24"/>
        </w:rPr>
        <w:t>DE TRABALHO OU DE DOENÇA PROFISSIONAL. AJUIZAMENTO PERANTE A JUSTIÇA COMUM ANTES DA PROMULGAÇÃO DA EMENDA CONSTITUCIONAL Nº 45/2004. POSTERIOR REMESSA DOS AUTOS À JUSTIÇA DO TRABALHO. ART. 20 DO CPC. INCIDÊNCIA.</w:t>
      </w:r>
    </w:p>
    <w:p w:rsidR="006F378A" w:rsidRPr="006F378A" w:rsidRDefault="006F378A" w:rsidP="006F378A">
      <w:pPr>
        <w:tabs>
          <w:tab w:val="left" w:pos="4253"/>
        </w:tabs>
        <w:adjustRightInd w:val="0"/>
        <w:jc w:val="both"/>
        <w:rPr>
          <w:b/>
          <w:bCs/>
          <w:emboss/>
          <w:sz w:val="24"/>
          <w:szCs w:val="24"/>
        </w:rPr>
      </w:pPr>
      <w:r w:rsidRPr="006F378A">
        <w:rPr>
          <w:sz w:val="24"/>
          <w:szCs w:val="24"/>
        </w:rPr>
        <w:t>A condenação em honorários advocatícios nos autos de ação de indenização por danos morais e materiais decorrentes de acidente</w:t>
      </w:r>
      <w:r>
        <w:rPr>
          <w:sz w:val="24"/>
          <w:szCs w:val="24"/>
        </w:rPr>
        <w:t xml:space="preserve"> </w:t>
      </w:r>
      <w:r w:rsidRPr="006F378A">
        <w:rPr>
          <w:sz w:val="24"/>
          <w:szCs w:val="24"/>
        </w:rPr>
        <w:t>de trabalho ou de doença profissional, remetida à Justiça do Trabalho após ajuizamento na Justiça comum, antes da vigência da Emenda Constitucional nº 45/2004, decorre da mera sucumbência, nos termos do art. 20 do CPC, não se sujeitando aos requisitos da</w:t>
      </w:r>
      <w:r>
        <w:rPr>
          <w:sz w:val="24"/>
          <w:szCs w:val="24"/>
        </w:rPr>
        <w:t xml:space="preserve"> </w:t>
      </w:r>
      <w:r w:rsidRPr="006F378A">
        <w:rPr>
          <w:sz w:val="24"/>
          <w:szCs w:val="24"/>
        </w:rPr>
        <w:t>Lei nº 5.584/1970.</w:t>
      </w:r>
    </w:p>
    <w:p w:rsidR="006F378A" w:rsidRPr="005D1DE4" w:rsidRDefault="006F378A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362E74" w:rsidRDefault="00362E74" w:rsidP="00362E7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Promoção por antiguidade. Resolução da empresa que fixa em zero o percentual de empregados passíveis de promoção</w:t>
      </w:r>
      <w:r w:rsidRPr="001F4DE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Equivalência à inobservância do regulamento interno. </w:t>
      </w:r>
      <w:r w:rsidRPr="001F4DE8">
        <w:rPr>
          <w:b/>
          <w:i/>
          <w:sz w:val="24"/>
          <w:szCs w:val="24"/>
        </w:rPr>
        <w:t xml:space="preserve"> Prescrição parcial</w:t>
      </w:r>
      <w:r>
        <w:rPr>
          <w:b/>
          <w:i/>
          <w:sz w:val="24"/>
          <w:szCs w:val="24"/>
        </w:rPr>
        <w:t xml:space="preserve">. Orientação Jurisprudencial nº 404 da SBDI-I. </w:t>
      </w:r>
    </w:p>
    <w:p w:rsidR="00362E74" w:rsidRDefault="00362E74" w:rsidP="00362E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resolução da empresa que fixa em zero o percentual de empregados passíveis de promoção por antiguidade, assegurada em regulamento interno, não implica alteração do pactuado e a consequente prescrição total (Súmula nº 294 do TST), mas sim a inobservância da norma interna a ensejar a incidência da prescrição parcial, nos termos da Orientação Jurisprudencial nº 404 da SBDI-I. </w:t>
      </w:r>
      <w:r w:rsidRPr="001F4DE8">
        <w:rPr>
          <w:sz w:val="24"/>
          <w:szCs w:val="24"/>
        </w:rPr>
        <w:t>Com esse entendimento, a SBDI-</w:t>
      </w:r>
      <w:r>
        <w:rPr>
          <w:sz w:val="24"/>
          <w:szCs w:val="24"/>
        </w:rPr>
        <w:t>I</w:t>
      </w:r>
      <w:r w:rsidRPr="001F4DE8">
        <w:rPr>
          <w:sz w:val="24"/>
          <w:szCs w:val="24"/>
        </w:rPr>
        <w:t xml:space="preserve">, por maioria, </w:t>
      </w:r>
      <w:r>
        <w:rPr>
          <w:sz w:val="24"/>
          <w:szCs w:val="24"/>
        </w:rPr>
        <w:t>vencidos os Ministros Ives Gandra Martins Filho e Brito Pereira, deu provimento ao agravo e, ainda por maioria, vencida a Ministra Dora Maria da Costa, julgou desde logo o recurso de embargos para dele conhecer, por contrariedade à Orientação Jurisprudencial nº 404 da SBDI-I, e dar-lhe provimento para, reformando o acórdão embargado, determinar o retorno dos autos à Turma de origem a fim de prosseguir no julgamento do recurso de revista, afastada a prescrição total da pretensão às promoções</w:t>
      </w:r>
      <w:r w:rsidRPr="001F4DE8">
        <w:rPr>
          <w:sz w:val="24"/>
          <w:szCs w:val="24"/>
        </w:rPr>
        <w:t xml:space="preserve">. </w:t>
      </w:r>
      <w:hyperlink r:id="rId8" w:history="1">
        <w:r w:rsidRPr="001F4DE8">
          <w:rPr>
            <w:rStyle w:val="Hyperlink"/>
            <w:sz w:val="24"/>
            <w:szCs w:val="24"/>
          </w:rPr>
          <w:t>TST-Ag-E-RR-36740-87.2007.5.04.0611</w:t>
        </w:r>
      </w:hyperlink>
      <w:r w:rsidRPr="001F4DE8">
        <w:rPr>
          <w:sz w:val="24"/>
          <w:szCs w:val="24"/>
          <w:u w:val="single"/>
        </w:rPr>
        <w:t xml:space="preserve">, SBDI-I, </w:t>
      </w:r>
      <w:r>
        <w:rPr>
          <w:sz w:val="24"/>
          <w:szCs w:val="24"/>
          <w:u w:val="single"/>
        </w:rPr>
        <w:t xml:space="preserve">rel. </w:t>
      </w:r>
      <w:r w:rsidRPr="001F4DE8">
        <w:rPr>
          <w:sz w:val="24"/>
          <w:szCs w:val="24"/>
          <w:u w:val="single"/>
        </w:rPr>
        <w:t>Min. Ives Gandra da Silva Martins Filho,</w:t>
      </w:r>
      <w:r>
        <w:rPr>
          <w:sz w:val="24"/>
          <w:szCs w:val="24"/>
          <w:u w:val="single"/>
        </w:rPr>
        <w:t xml:space="preserve"> red. p/ acórdão Min. Augusto César Leite de Carvalho,</w:t>
      </w:r>
      <w:r w:rsidRPr="001F4DE8">
        <w:rPr>
          <w:sz w:val="24"/>
          <w:szCs w:val="24"/>
          <w:u w:val="single"/>
        </w:rPr>
        <w:t xml:space="preserve"> 7.2.2013</w:t>
      </w:r>
    </w:p>
    <w:p w:rsidR="00362E74" w:rsidRPr="00F07273" w:rsidRDefault="00362E74" w:rsidP="00F82D8F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362E74" w:rsidRDefault="00362E74" w:rsidP="00362E7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Dano moral. Não configuração. Empregado de instituição bancária.</w:t>
      </w:r>
      <w:r w:rsidRPr="003D032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Quebra de sigilo bancário. Procedimento indistinto adotado para todos os correntistas de instituição financeira. Determinação do Banco Central. </w:t>
      </w:r>
    </w:p>
    <w:p w:rsidR="00362E74" w:rsidRDefault="00362E74" w:rsidP="00362E74">
      <w:pPr>
        <w:jc w:val="both"/>
      </w:pPr>
      <w:r>
        <w:rPr>
          <w:sz w:val="24"/>
          <w:szCs w:val="24"/>
        </w:rPr>
        <w:t xml:space="preserve">Não configura dano moral a quebra do sigilo bancário do empregado na hipótese em que haja determinação do Banco Central para, em procedimento geral adotado indistintamente em relação a todos os correntistas da instituição financeira, e não só aos empregados, monitorar contas correntes com o objetivo de detectar existência de movimentação extraordinária, emissão de cheques sem fundos e evitar lavagem de dinheiro. Com esse entendimento, a SBDI-I, </w:t>
      </w:r>
      <w:r w:rsidRPr="001E650A">
        <w:rPr>
          <w:sz w:val="24"/>
          <w:szCs w:val="24"/>
        </w:rPr>
        <w:t xml:space="preserve">por unanimidade, </w:t>
      </w:r>
      <w:r w:rsidRPr="00C53988">
        <w:rPr>
          <w:sz w:val="24"/>
          <w:szCs w:val="24"/>
        </w:rPr>
        <w:t>conheceu do recurso de embargos por divergência jurisprudencial, e, no mérito, negou-lhe provimento</w:t>
      </w:r>
      <w:r w:rsidRPr="001E650A">
        <w:rPr>
          <w:sz w:val="24"/>
          <w:szCs w:val="24"/>
        </w:rPr>
        <w:t>.</w:t>
      </w:r>
      <w:r>
        <w:rPr>
          <w:sz w:val="24"/>
          <w:szCs w:val="24"/>
        </w:rPr>
        <w:t xml:space="preserve"> Na espécie, consignou-se que não há quebra de isonomia, nem mitigação do direito fundamental à </w:t>
      </w:r>
      <w:r>
        <w:rPr>
          <w:sz w:val="24"/>
          <w:szCs w:val="24"/>
        </w:rPr>
        <w:lastRenderedPageBreak/>
        <w:t>privacidade e à intimidade, nem do dever de sigilo, dispostos nos arts.</w:t>
      </w:r>
      <w:r w:rsidRPr="001565C5">
        <w:rPr>
          <w:sz w:val="24"/>
          <w:szCs w:val="24"/>
        </w:rPr>
        <w:t xml:space="preserve"> 5º, X</w:t>
      </w:r>
      <w:r>
        <w:rPr>
          <w:sz w:val="24"/>
          <w:szCs w:val="24"/>
        </w:rPr>
        <w:t>, da CF e 1º da</w:t>
      </w:r>
      <w:r w:rsidRPr="001565C5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ei </w:t>
      </w:r>
      <w:r w:rsidRPr="001565C5">
        <w:rPr>
          <w:sz w:val="24"/>
          <w:szCs w:val="24"/>
        </w:rPr>
        <w:t>C</w:t>
      </w:r>
      <w:r>
        <w:rPr>
          <w:sz w:val="24"/>
          <w:szCs w:val="24"/>
        </w:rPr>
        <w:t xml:space="preserve">omplementar nº </w:t>
      </w:r>
      <w:r w:rsidRPr="001565C5">
        <w:rPr>
          <w:sz w:val="24"/>
          <w:szCs w:val="24"/>
        </w:rPr>
        <w:t>105/2001</w:t>
      </w:r>
      <w:r>
        <w:rPr>
          <w:sz w:val="24"/>
          <w:szCs w:val="24"/>
        </w:rPr>
        <w:t xml:space="preserve">. Ademais, o caso em tela não se confunde com as hipóteses em que o TST, diante do exame da movimentação financeira do empregado, em procedimento de auditoria interna do banco empregador, sem autorização judicial, tem reconhecido a existência de dano moral. </w:t>
      </w:r>
      <w:hyperlink r:id="rId9" w:history="1">
        <w:r w:rsidRPr="00F12FE0">
          <w:rPr>
            <w:rStyle w:val="Hyperlink"/>
            <w:sz w:val="24"/>
            <w:szCs w:val="24"/>
          </w:rPr>
          <w:t>TST-EEDRR-82600-37.2009.5.03.0137</w:t>
        </w:r>
      </w:hyperlink>
      <w:r w:rsidRPr="00417B47">
        <w:rPr>
          <w:sz w:val="24"/>
          <w:szCs w:val="24"/>
          <w:u w:val="single"/>
        </w:rPr>
        <w:t xml:space="preserve">, SBDI-I, rel. </w:t>
      </w:r>
      <w:r w:rsidRPr="001E650A">
        <w:rPr>
          <w:sz w:val="24"/>
          <w:szCs w:val="24"/>
          <w:u w:val="single"/>
        </w:rPr>
        <w:t xml:space="preserve">Min. </w:t>
      </w:r>
      <w:r w:rsidRPr="00C11325">
        <w:rPr>
          <w:sz w:val="24"/>
          <w:szCs w:val="24"/>
          <w:u w:val="single"/>
        </w:rPr>
        <w:t xml:space="preserve">Augusto César Leite </w:t>
      </w:r>
      <w:r>
        <w:rPr>
          <w:sz w:val="24"/>
          <w:szCs w:val="24"/>
          <w:u w:val="single"/>
        </w:rPr>
        <w:t>d</w:t>
      </w:r>
      <w:r w:rsidRPr="00C11325">
        <w:rPr>
          <w:sz w:val="24"/>
          <w:szCs w:val="24"/>
          <w:u w:val="single"/>
        </w:rPr>
        <w:t>e Carvalho</w:t>
      </w:r>
      <w:r w:rsidRPr="001E65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7</w:t>
      </w:r>
      <w:r w:rsidRPr="001E650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</w:t>
      </w:r>
      <w:r w:rsidRPr="001E650A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3</w:t>
      </w:r>
      <w:r w:rsidRPr="00D041D6">
        <w:t xml:space="preserve"> (*No mesmo sentido</w:t>
      </w:r>
      <w:r>
        <w:t xml:space="preserve"> e julgado na mesma sessão</w:t>
      </w:r>
      <w:r w:rsidRPr="00D041D6">
        <w:t>, TST-E-RR-1517-92.2010.5.03.0030)</w:t>
      </w:r>
    </w:p>
    <w:p w:rsidR="00160AC3" w:rsidRDefault="00160AC3" w:rsidP="00362E74">
      <w:pPr>
        <w:jc w:val="both"/>
      </w:pPr>
    </w:p>
    <w:p w:rsidR="00160AC3" w:rsidRDefault="00160AC3" w:rsidP="00160A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Pr="00886AA0">
        <w:rPr>
          <w:b/>
          <w:i/>
          <w:sz w:val="24"/>
          <w:szCs w:val="24"/>
        </w:rPr>
        <w:t>mbargos sujeito</w:t>
      </w:r>
      <w:r>
        <w:rPr>
          <w:b/>
          <w:i/>
          <w:sz w:val="24"/>
          <w:szCs w:val="24"/>
        </w:rPr>
        <w:t>s</w:t>
      </w:r>
      <w:r w:rsidRPr="00886AA0">
        <w:rPr>
          <w:b/>
          <w:i/>
          <w:sz w:val="24"/>
          <w:szCs w:val="24"/>
        </w:rPr>
        <w:t xml:space="preserve"> à sistemática da Lei n.º 11.496/2007. Processo submetido ao rito sumaríssimo. </w:t>
      </w:r>
      <w:r>
        <w:rPr>
          <w:b/>
          <w:i/>
          <w:sz w:val="24"/>
          <w:szCs w:val="24"/>
        </w:rPr>
        <w:t xml:space="preserve">Arguição de contrariedade à Orientação Jurisprudencial nº 142 da SBDI-I. </w:t>
      </w:r>
      <w:r w:rsidRPr="00886AA0">
        <w:rPr>
          <w:b/>
          <w:i/>
          <w:sz w:val="24"/>
          <w:szCs w:val="24"/>
        </w:rPr>
        <w:t>Conhecimento por divergência</w:t>
      </w:r>
      <w:r>
        <w:rPr>
          <w:b/>
          <w:i/>
          <w:sz w:val="24"/>
          <w:szCs w:val="24"/>
        </w:rPr>
        <w:t xml:space="preserve"> com os precedentes que originaram o referido verbete. Possibilidade. </w:t>
      </w:r>
    </w:p>
    <w:p w:rsidR="00160AC3" w:rsidRPr="0076189D" w:rsidRDefault="00160AC3" w:rsidP="00160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termos da Orientação Jurisprudencial nº 405 da SBDI-I, o recurso de embargos sujeito à sistemática da Lei nº 11.496/2007, interposto em processo submetido ao rito sumaríssimo, somente pode ser conhecido quando demonstrada divergência jurisprudencial fundada em interpretação de mesmo dispositivo constitucional ou de matéria sumulada. Não obstante esse entendimento, e tendo em conta que o item I da Orientação Jurisprudencial nº 412 da SBDI-I contempla questão ligada ao art. 5º, LV, da CF, interpretando, portanto, disposição constitucional, a SBDI-I, por maioria, vencidos os Ministros Dora Maria da Costa, Brito Pereira, Maria Cristina Irigoyen Peduzzi e Alberto Luiz Bresciani de Fontan Pereira, conheceu dos embargos pela preliminar de nulidade arguida, por contrariedade aos precedentes que originaram a Orientação Jurisprudencial nº 142 da SBDI-I, e, no mérito, por unanimidade, deu-lhes provimento para anular a decisão proferida pela Turma e determinar a regular intimação pessoal da União, a fim de que, querendo, se manifeste sobre os embargos de declaração opostos pelo reclamante. </w:t>
      </w:r>
      <w:hyperlink r:id="rId10" w:history="1">
        <w:r w:rsidRPr="00160AC3">
          <w:rPr>
            <w:rStyle w:val="Hyperlink"/>
            <w:sz w:val="24"/>
            <w:szCs w:val="24"/>
          </w:rPr>
          <w:t>TST-E-ED-RR-150500-91.2003.5.02.0002</w:t>
        </w:r>
      </w:hyperlink>
      <w:r w:rsidRPr="00F953FF">
        <w:rPr>
          <w:sz w:val="24"/>
          <w:szCs w:val="24"/>
          <w:u w:val="single"/>
        </w:rPr>
        <w:t>, SBDI-I, rel. Min. Delaíde Miranda Arantes</w:t>
      </w:r>
      <w:r>
        <w:rPr>
          <w:sz w:val="24"/>
          <w:szCs w:val="24"/>
          <w:u w:val="single"/>
        </w:rPr>
        <w:t>, 7.2.2013</w:t>
      </w:r>
    </w:p>
    <w:p w:rsidR="00160AC3" w:rsidRPr="00F07273" w:rsidRDefault="00160AC3" w:rsidP="00362E74">
      <w:pPr>
        <w:jc w:val="both"/>
        <w:rPr>
          <w:b/>
          <w:i/>
        </w:rPr>
      </w:pPr>
    </w:p>
    <w:p w:rsidR="00747C3C" w:rsidRDefault="00747C3C" w:rsidP="00747C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Embargos. Discussão acerca da irregularidade de representação do recurso anterior. Saneamento do vício no momento da interposição dos embargos. Não exigência. </w:t>
      </w:r>
    </w:p>
    <w:p w:rsidR="00747C3C" w:rsidRDefault="00747C3C" w:rsidP="00747C3C">
      <w:pPr>
        <w:jc w:val="both"/>
        <w:rPr>
          <w:sz w:val="24"/>
          <w:szCs w:val="24"/>
        </w:rPr>
      </w:pPr>
      <w:r>
        <w:rPr>
          <w:sz w:val="24"/>
          <w:szCs w:val="24"/>
        </w:rPr>
        <w:t>Na hipótese em que o objeto dos embargos é a irregularidade de representação, indicada como óbice ao conhecimento do recurso anteriormente interposto, não se exige da parte que sane previamente o vício apontado, como condição para a interposição do novo recurso, pois, no caso, o pressuposto recursal extrínseco se confunde com o próprio mérito dos embargos. Com esse entendimento, a SBDI-I, por maioria, não conheceu</w:t>
      </w:r>
      <w:r w:rsidRPr="00112962">
        <w:rPr>
          <w:sz w:val="24"/>
          <w:szCs w:val="24"/>
        </w:rPr>
        <w:t xml:space="preserve"> dos embargos por ausência de</w:t>
      </w:r>
      <w:r>
        <w:rPr>
          <w:sz w:val="24"/>
          <w:szCs w:val="24"/>
        </w:rPr>
        <w:t xml:space="preserve"> pressuposto </w:t>
      </w:r>
      <w:r w:rsidRPr="00112962">
        <w:rPr>
          <w:sz w:val="24"/>
          <w:szCs w:val="24"/>
        </w:rPr>
        <w:t>intrínseco, vencidos os Ministros Augusto César de Carvalho, relator, Maria Cristina P</w:t>
      </w:r>
      <w:r>
        <w:rPr>
          <w:sz w:val="24"/>
          <w:szCs w:val="24"/>
        </w:rPr>
        <w:t xml:space="preserve">eduzzi e Alberto Luiz Bresciani, que também não conheciam do recurso, mas por ausência de </w:t>
      </w:r>
      <w:r w:rsidRPr="00D27447">
        <w:rPr>
          <w:sz w:val="24"/>
          <w:szCs w:val="24"/>
        </w:rPr>
        <w:t>pressuposto recursal extrínseco relativo à regularidade de representação processual da recorrente</w:t>
      </w:r>
      <w:r>
        <w:rPr>
          <w:sz w:val="24"/>
          <w:szCs w:val="24"/>
        </w:rPr>
        <w:t xml:space="preserve">. </w:t>
      </w:r>
      <w:hyperlink r:id="rId11" w:history="1">
        <w:r w:rsidRPr="00F07273">
          <w:rPr>
            <w:rStyle w:val="Hyperlink"/>
            <w:sz w:val="24"/>
            <w:szCs w:val="24"/>
          </w:rPr>
          <w:t>TST-EAIRR-2439-61.2010.5.09.0000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SBDI-I, rel. Min. Augusto César Leite de Carvalho, red. p/ acórdão </w:t>
      </w:r>
      <w:r w:rsidRPr="003D032E">
        <w:rPr>
          <w:sz w:val="24"/>
          <w:szCs w:val="24"/>
          <w:u w:val="single"/>
        </w:rPr>
        <w:t>Min.</w:t>
      </w:r>
      <w:r>
        <w:rPr>
          <w:sz w:val="24"/>
          <w:szCs w:val="24"/>
          <w:u w:val="single"/>
        </w:rPr>
        <w:t xml:space="preserve"> Ives Gandra Martins Filho, 7.2.2013</w:t>
      </w:r>
    </w:p>
    <w:p w:rsidR="00747C3C" w:rsidRDefault="00747C3C" w:rsidP="00362E74">
      <w:pPr>
        <w:jc w:val="both"/>
        <w:rPr>
          <w:b/>
          <w:i/>
          <w:sz w:val="32"/>
          <w:szCs w:val="32"/>
        </w:rPr>
      </w:pP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B14F7F" w:rsidRPr="005D1DE4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17" w:rsidRDefault="00B80F17">
      <w:r>
        <w:separator/>
      </w:r>
    </w:p>
  </w:endnote>
  <w:endnote w:type="continuationSeparator" w:id="0">
    <w:p w:rsidR="00B80F17" w:rsidRDefault="00B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62C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5762C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17" w:rsidRDefault="00B80F17">
      <w:r>
        <w:separator/>
      </w:r>
    </w:p>
  </w:footnote>
  <w:footnote w:type="continuationSeparator" w:id="0">
    <w:p w:rsidR="00B80F17" w:rsidRDefault="00B8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362E74">
      <w:rPr>
        <w:shadow/>
        <w:sz w:val="24"/>
        <w:szCs w:val="24"/>
      </w:rPr>
      <w:t>35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362E74">
      <w:rPr>
        <w:sz w:val="20"/>
        <w:szCs w:val="20"/>
      </w:rPr>
      <w:t>13</w:t>
    </w:r>
    <w:r w:rsidR="00FE00AD" w:rsidRPr="00971E07">
      <w:rPr>
        <w:sz w:val="20"/>
        <w:szCs w:val="20"/>
      </w:rPr>
      <w:t xml:space="preserve"> de </w:t>
    </w:r>
    <w:r w:rsidR="00362E74">
      <w:rPr>
        <w:sz w:val="20"/>
        <w:szCs w:val="20"/>
      </w:rPr>
      <w:t>fevereiro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362E74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362E74">
      <w:rPr>
        <w:b/>
        <w:sz w:val="40"/>
        <w:szCs w:val="40"/>
      </w:rPr>
      <w:t>35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56752" w:rsidRPr="005D1DE4">
      <w:rPr>
        <w:i/>
        <w:iCs/>
      </w:rPr>
      <w:t>1º</w:t>
    </w:r>
    <w:r w:rsidR="00FE00AD" w:rsidRPr="005D1DE4">
      <w:rPr>
        <w:i/>
        <w:iCs/>
      </w:rPr>
      <w:t xml:space="preserve"> a </w:t>
    </w:r>
    <w:r w:rsidR="00362E74">
      <w:rPr>
        <w:i/>
        <w:iCs/>
      </w:rPr>
      <w:t>13</w:t>
    </w:r>
    <w:r w:rsidR="00FE00AD" w:rsidRPr="005D1DE4">
      <w:rPr>
        <w:i/>
        <w:iCs/>
      </w:rPr>
      <w:t xml:space="preserve"> de </w:t>
    </w:r>
    <w:r w:rsidR="00F07273">
      <w:rPr>
        <w:i/>
        <w:iCs/>
      </w:rPr>
      <w:t xml:space="preserve">fevereiro </w:t>
    </w:r>
    <w:r w:rsidR="00FE00AD" w:rsidRPr="005D1DE4">
      <w:rPr>
        <w:i/>
        <w:iCs/>
      </w:rPr>
      <w:t>de 201</w:t>
    </w:r>
    <w:r w:rsidR="00362E74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60AC3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2E74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762C4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378A"/>
    <w:rsid w:val="006F6C15"/>
    <w:rsid w:val="0070727E"/>
    <w:rsid w:val="00710D3A"/>
    <w:rsid w:val="0071315F"/>
    <w:rsid w:val="00721942"/>
    <w:rsid w:val="00722BE7"/>
    <w:rsid w:val="00732DF2"/>
    <w:rsid w:val="00747C3C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7420D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0F17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7273"/>
    <w:rsid w:val="00F12FE0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E5FF5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36740&amp;digitoTst=87&amp;anoTst=2007&amp;orgaoTst=5&amp;tribunalTst=04&amp;varaTst=06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2439&amp;digitoTst=61&amp;anoTst=2010&amp;orgaoTst=5&amp;tribunalTst=09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150500&amp;digitoTst=91&amp;anoTst=2003&amp;orgaoTst=5&amp;tribunalTst=02&amp;varaTst=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82600&amp;digitoTst=37&amp;anoTst=2009&amp;orgaoTst=5&amp;tribunalTst=03&amp;varaTst=013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6655-1544-42EC-9084-8938FA4A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7521</CharactersWithSpaces>
  <SharedDoc>false</SharedDoc>
  <HLinks>
    <vt:vector size="24" baseType="variant">
      <vt:variant>
        <vt:i4>6422642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https://aplicacao5.tst.jus.br/consultaProcessual/consultaTstNumUnica.do?consulta=Consultar&amp;conscsjt=&amp;numeroTst=2439&amp;digitoTst=61&amp;anoTst=2010&amp;orgaoTst=5&amp;tribunalTst=09&amp;varaTst=0000</vt:lpwstr>
      </vt:variant>
      <vt:variant>
        <vt:lpwstr/>
      </vt:variant>
      <vt:variant>
        <vt:i4>5898305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https://aplicacao5.tst.jus.br/consultaProcessual/consultaTstNumUnica.do?consulta=Consultar&amp;conscsjt=&amp;numeroTst=150500&amp;digitoTst=91&amp;anoTst=2003&amp;orgaoTst=5&amp;tribunalTst=02&amp;varaTst=0002</vt:lpwstr>
      </vt:variant>
      <vt:variant>
        <vt:lpwstr/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https://aplicacao5.tst.jus.br/consultaProcessual/consultaTstNumUnica.do?consulta=Consultar&amp;conscsjt=&amp;numeroTst=82600&amp;digitoTst=37&amp;anoTst=2009&amp;orgaoTst=5&amp;tribunalTst=03&amp;varaTst=0137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https://aplicacao5.tst.jus.br/consultaProcessual/consultaTstNumUnica.do?consulta=Consultar&amp;conscsjt=&amp;numeroTst=36740&amp;digitoTst=87&amp;anoTst=2007&amp;orgaoTst=5&amp;tribunalTst=04&amp;varaTst=0611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